
<file path=[Content_Types].xml><?xml version="1.0" encoding="utf-8"?>
<Types xmlns="http://schemas.openxmlformats.org/package/2006/content-types">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Default Extension="rels" ContentType="application/vnd.openxmlformats-package.relationships+xml"/>
  <Default Extension="xml" ContentType="application/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_top" w:name="_top"/>
    <w:bookmarkEnd w:id="_top"/>
    <w:p>
      <w:pPr>
        <w:pStyle w:val="0"/>
        <w:rPr>
          <w:b/>
          <w:color w:val="000000"/>
          <w:sz w:val="30"/>
          <w:shd w:val="clear" w:color="000000" w:fill="ffffff"/>
        </w:rPr>
        <w:widowControl w:val="off"/>
        <w:snapToGrid/>
      </w:pPr>
      <w:r>
        <w:rPr>
          <w:b/>
          <w:color w:val="000000"/>
          <w:sz w:val="30"/>
          <w:shd w:val="clear" w:color="000000" w:fill="ffffff"/>
        </w:rPr>
        <w:t>사용상</w:t>
      </w:r>
      <w:r>
        <w:rPr>
          <w:b/>
          <w:color w:val="000000"/>
          <w:sz w:val="30"/>
          <w:shd w:val="clear" w:color="000000" w:fill="ffffff"/>
        </w:rPr>
        <w:t>의</w:t>
      </w:r>
      <w:r>
        <w:rPr>
          <w:b/>
          <w:color w:val="000000"/>
          <w:sz w:val="30"/>
          <w:shd w:val="clear" w:color="000000" w:fill="ffffff"/>
        </w:rPr>
        <w:t xml:space="preserve"> 주의사항</w:t>
      </w:r>
    </w:p>
    <w:p>
      <w:pPr>
        <w:pStyle w:val="0"/>
        <w:rPr>
          <w:b/>
          <w:color w:val="000000"/>
          <w:sz w:val="30"/>
          <w:shd w:val="clear" w:color="000000" w:fill="ffffff"/>
        </w:rPr>
        <w:widowControl w:val="off"/>
        <w:snapToGrid/>
      </w:pPr>
    </w:p>
    <w:p>
      <w:pPr>
        <w:pStyle w:val="0"/>
        <w:rPr>
          <w:rFonts w:ascii="Arial" w:hAnsi="Arial"/>
          <w:b/>
          <w:color w:val="000000"/>
          <w:sz w:val="22"/>
          <w:shd w:val="clear" w:color="000000" w:fill="ffffff"/>
        </w:rPr>
        <w:widowControl w:val="off"/>
        <w:snapToGrid/>
      </w:pPr>
      <w:r>
        <w:rPr>
          <w:rFonts w:ascii="Arial" w:hAnsi="Arial"/>
          <w:b/>
          <w:color w:val="000000"/>
          <w:sz w:val="22"/>
          <w:shd w:val="clear" w:color="000000" w:fill="ffffff"/>
        </w:rPr>
        <w:t>1. 다음 환자에는 투여하지 말 것</w:t>
      </w:r>
    </w:p>
    <w:p>
      <w:pPr>
        <w:pStyle w:val="14"/>
        <w:rPr>
          <w:rFonts w:ascii="Arial" w:hAnsi="Arial" w:eastAsia="바탕"/>
          <w:color w:val="000000"/>
          <w:sz w:val="22"/>
        </w:rPr>
        <w:widowControl w:val="off"/>
      </w:pPr>
      <w:r>
        <w:rPr>
          <w:rFonts w:ascii="Arial" w:hAnsi="Arial" w:eastAsia="바탕"/>
          <w:color w:val="000000"/>
          <w:sz w:val="22"/>
        </w:rPr>
        <w:t xml:space="preserve"> 1) 이 약의 활성성분, 부형제 또는 디프테리아 톡소이드에 대해 과민성이 있는 자.</w:t>
      </w:r>
    </w:p>
    <w:p>
      <w:pPr>
        <w:pStyle w:val="14"/>
        <w:rPr>
          <w:rFonts w:ascii="Arial" w:hAnsi="Arial" w:eastAsia="바탕"/>
          <w:color w:val="000000"/>
          <w:sz w:val="22"/>
        </w:rPr>
        <w:widowControl w:val="off"/>
      </w:pPr>
      <w:r>
        <w:rPr>
          <w:rFonts w:ascii="Arial" w:hAnsi="Arial" w:eastAsia="바탕"/>
          <w:color w:val="000000"/>
          <w:sz w:val="22"/>
        </w:rPr>
        <w:t xml:space="preserve"> 2) 급성 중증의 열성질환을 앓고 있는 환자 (이 약의 접종을 연기해야 한다.) </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b/>
          <w:color w:val="000000"/>
          <w:sz w:val="22"/>
        </w:rPr>
        <w:t xml:space="preserve">2. </w:t>
      </w:r>
      <w:r>
        <w:rPr>
          <w:rFonts w:eastAsia="바탕"/>
          <w:b/>
          <w:color w:val="000000"/>
          <w:sz w:val="22"/>
        </w:rPr>
        <w:t>이상사례</w:t>
      </w:r>
    </w:p>
    <w:p>
      <w:pPr>
        <w:pStyle w:val="14"/>
        <w:rPr>
          <w:rFonts w:ascii="Arial" w:hAnsi="Arial" w:eastAsia="바탕"/>
          <w:color w:val="000000"/>
          <w:sz w:val="22"/>
        </w:rPr>
        <w:widowControl w:val="off"/>
      </w:pPr>
      <w:r>
        <w:rPr>
          <w:rFonts w:ascii="Arial" w:hAnsi="Arial" w:eastAsia="바탕"/>
          <w:color w:val="000000"/>
          <w:sz w:val="22"/>
        </w:rPr>
        <w:t>모든 연령군에서 임상시험 또는 시판 후 경험에서 보고된 약물</w:t>
      </w:r>
      <w:r>
        <w:rPr>
          <w:rFonts w:eastAsia="바탕"/>
          <w:color w:val="000000"/>
          <w:sz w:val="22"/>
        </w:rPr>
        <w:t>이상</w:t>
      </w:r>
      <w:r>
        <w:rPr>
          <w:rFonts w:ascii="Arial" w:hAnsi="Arial" w:eastAsia="바탕"/>
          <w:color w:val="000000"/>
          <w:sz w:val="22"/>
        </w:rPr>
        <w:t>반응은 신체부위 및 빈도에 따라 다음과 같다. 빈도에 대한 정의는 다음과 같다.</w:t>
      </w:r>
    </w:p>
    <w:tbl>
      <w:tblPr>
        <w:tblOverlap w:val="never"/>
        <w:tblW w:w="9525" w:type="dxa"/>
        <w:tblBorders>
          <w:top w:val="none" w:color="000000" w:sz="3"/>
          <w:left w:val="none" w:color="000000" w:sz="3"/>
          <w:bottom w:val="none" w:color="000000" w:sz="3"/>
          <w:right w:val="none" w:color="000000" w:sz="3"/>
        </w:tblBorders>
        <w:tblLayout w:type="fixed"/>
        <w:tblCellMar>
          <w:top w:w="28" w:type="dxa"/>
          <w:left w:w="102" w:type="dxa"/>
          <w:bottom w:w="28" w:type="dxa"/>
          <w:right w:w="102" w:type="dxa"/>
        </w:tblCellMar>
      </w:tblPr>
      <w:tblGrid/>
      <w:tr>
        <w:trPr>
          <w:trHeight w:val="742"/>
        </w:trPr>
        <w:tc>
          <w:tcPr>
            <w:tcW w:w="9525" w:type="dxa"/>
            <w:tcBorders>
              <w:top w:val="single" w:color="000000" w:sz="2"/>
              <w:left w:val="single" w:color="000000" w:sz="2"/>
              <w:bottom w:val="single" w:color="000000" w:sz="2"/>
              <w:right w:val="single" w:color="000000" w:sz="2"/>
            </w:tcBorders>
            <w:vAlign w:val="center"/>
          </w:tcPr>
          <w:p>
            <w:pPr>
              <w:pStyle w:val="14"/>
              <w:rPr>
                <w:rFonts w:ascii="Arial" w:hAnsi="Arial" w:eastAsia="바탕"/>
                <w:color w:val="000000"/>
                <w:sz w:val="22"/>
              </w:rPr>
              <w:widowControl w:val="off"/>
            </w:pPr>
            <w:r>
              <w:rPr>
                <w:rFonts w:ascii="Arial" w:hAnsi="Arial" w:eastAsia="바탕"/>
                <w:color w:val="000000"/>
                <w:sz w:val="22"/>
              </w:rPr>
              <w:t xml:space="preserve">매우 흔함 : </w:t>
            </w:r>
            <w:r>
              <w:rPr>
                <w:color w:val="000000"/>
                <w:sz w:val="22"/>
              </w:rPr>
              <w:t>≥</w:t>
            </w:r>
            <w:r>
              <w:rPr>
                <w:rFonts w:ascii="Arial" w:hAnsi="Arial" w:eastAsia="바탕"/>
                <w:color w:val="000000"/>
                <w:sz w:val="22"/>
              </w:rPr>
              <w:t xml:space="preserve">10%, 흔함 : </w:t>
            </w:r>
            <w:r>
              <w:rPr>
                <w:color w:val="000000"/>
                <w:sz w:val="22"/>
              </w:rPr>
              <w:t>≥</w:t>
            </w:r>
            <w:r>
              <w:rPr>
                <w:rFonts w:ascii="Arial" w:hAnsi="Arial"/>
                <w:color w:val="000000"/>
                <w:sz w:val="22"/>
              </w:rPr>
              <w:t>1</w:t>
            </w:r>
            <w:r>
              <w:rPr>
                <w:rFonts w:ascii="Arial" w:hAnsi="Arial"/>
                <w:color w:val="000000"/>
                <w:sz w:val="22"/>
              </w:rPr>
              <w:t xml:space="preserve">% </w:t>
            </w:r>
            <w:r>
              <w:rPr>
                <w:rFonts w:ascii="Arial" w:hAnsi="Arial" w:eastAsia="바탕"/>
                <w:color w:val="000000"/>
                <w:sz w:val="22"/>
              </w:rPr>
              <w:t xml:space="preserve">및 &lt;10%, 흔하지 않음 : </w:t>
            </w:r>
            <w:r>
              <w:rPr>
                <w:color w:val="000000"/>
                <w:sz w:val="22"/>
              </w:rPr>
              <w:t>≥</w:t>
            </w:r>
            <w:r>
              <w:rPr>
                <w:rFonts w:ascii="Arial" w:hAnsi="Arial"/>
                <w:color w:val="000000"/>
                <w:sz w:val="22"/>
              </w:rPr>
              <w:t>0.1</w:t>
            </w:r>
            <w:r>
              <w:rPr>
                <w:rFonts w:ascii="Arial" w:hAnsi="Arial"/>
                <w:color w:val="000000"/>
                <w:sz w:val="22"/>
              </w:rPr>
              <w:t xml:space="preserve">% </w:t>
            </w:r>
            <w:r>
              <w:rPr>
                <w:rFonts w:ascii="Arial" w:hAnsi="Arial" w:eastAsia="바탕"/>
                <w:color w:val="000000"/>
                <w:sz w:val="22"/>
              </w:rPr>
              <w:t xml:space="preserve"> 및 &lt;1%, 드물게 : </w:t>
            </w:r>
            <w:r>
              <w:rPr>
                <w:color w:val="000000"/>
                <w:sz w:val="22"/>
              </w:rPr>
              <w:t>≥</w:t>
            </w:r>
            <w:r>
              <w:rPr>
                <w:rFonts w:ascii="Arial" w:hAnsi="Arial"/>
                <w:color w:val="000000"/>
                <w:sz w:val="22"/>
              </w:rPr>
              <w:t>0.01</w:t>
            </w:r>
            <w:r>
              <w:rPr>
                <w:rFonts w:ascii="Arial" w:hAnsi="Arial"/>
                <w:color w:val="000000"/>
                <w:sz w:val="22"/>
              </w:rPr>
              <w:t xml:space="preserve">% </w:t>
            </w:r>
            <w:r>
              <w:rPr>
                <w:rFonts w:ascii="Arial" w:hAnsi="Arial" w:eastAsia="바탕"/>
                <w:color w:val="000000"/>
                <w:sz w:val="22"/>
              </w:rPr>
              <w:t xml:space="preserve"> 및 &lt;0.1%, 매우 드물게 : &lt;0.01%</w:t>
            </w:r>
          </w:p>
        </w:tc>
      </w:tr>
    </w:tbl>
    <w:p>
      <w:pPr>
        <w:pStyle w:val="14"/>
        <w:rPr>
          <w:rFonts w:ascii="Arial" w:hAnsi="Arial" w:eastAsia="바탕"/>
          <w:color w:val="000000"/>
          <w:sz w:val="22"/>
        </w:rPr>
        <w:widowControl w:val="off"/>
      </w:pPr>
    </w:p>
    <w:p>
      <w:pPr>
        <w:pStyle w:val="14"/>
        <w:rPr>
          <w:rFonts w:ascii="Arial" w:hAnsi="Arial" w:eastAsia="바탕"/>
          <w:color w:val="000000"/>
          <w:sz w:val="22"/>
        </w:rPr>
        <w:widowControl w:val="off"/>
      </w:pPr>
    </w:p>
    <w:p>
      <w:pPr>
        <w:pStyle w:val="14"/>
        <w:rPr>
          <w:rFonts w:ascii="Arial" w:hAnsi="Arial" w:eastAsia="바탕"/>
          <w:b/>
          <w:color w:val="000000"/>
          <w:sz w:val="22"/>
        </w:rPr>
        <w:widowControl w:val="off"/>
      </w:pPr>
      <w:r>
        <w:rPr>
          <w:rFonts w:ascii="Arial" w:hAnsi="Arial" w:eastAsia="바탕"/>
          <w:b/>
          <w:color w:val="000000"/>
          <w:sz w:val="22"/>
        </w:rPr>
        <w:t>1) 임상시험에서의 약물</w:t>
      </w:r>
      <w:r>
        <w:rPr>
          <w:rFonts w:eastAsia="바탕"/>
          <w:b/>
          <w:color w:val="000000"/>
          <w:sz w:val="22"/>
        </w:rPr>
        <w:t>이상</w:t>
      </w:r>
      <w:r>
        <w:rPr>
          <w:rFonts w:ascii="Arial" w:hAnsi="Arial" w:eastAsia="바탕"/>
          <w:b/>
          <w:color w:val="000000"/>
          <w:sz w:val="22"/>
        </w:rPr>
        <w:t xml:space="preserve">반응 </w:t>
      </w:r>
    </w:p>
    <w:p>
      <w:pPr>
        <w:pStyle w:val="14"/>
        <w:rPr>
          <w:rFonts w:ascii="Arial" w:hAnsi="Arial" w:eastAsia="바탕"/>
          <w:b/>
          <w:color w:val="000000"/>
          <w:sz w:val="22"/>
        </w:rPr>
        <w:widowControl w:val="off"/>
      </w:pPr>
      <w:r>
        <w:rPr>
          <w:rFonts w:ascii="Arial" w:hAnsi="Arial" w:eastAsia="바탕"/>
          <w:b/>
          <w:color w:val="000000"/>
          <w:sz w:val="22"/>
        </w:rPr>
        <w:t xml:space="preserve">(1) 생후 6주 이상부터 </w:t>
      </w:r>
      <w:r>
        <w:rPr>
          <w:rFonts w:ascii="Arial" w:hAnsi="Arial" w:eastAsia="바탕"/>
          <w:b/>
          <w:color w:val="0000ff"/>
          <w:sz w:val="22"/>
          <w:u w:val="single" w:color="0000ff"/>
        </w:rPr>
        <w:t>만 5세(72개월 미만)</w:t>
      </w:r>
      <w:r>
        <w:rPr>
          <w:rFonts w:ascii="Arial" w:hAnsi="Arial" w:eastAsia="바탕"/>
          <w:b/>
          <w:color w:val="000000"/>
          <w:sz w:val="22"/>
        </w:rPr>
        <w:t>까지의 영아 및 어린이</w:t>
      </w:r>
    </w:p>
    <w:p>
      <w:pPr>
        <w:pStyle w:val="14"/>
        <w:rPr>
          <w:rFonts w:ascii="Arial" w:hAnsi="Arial" w:eastAsia="바탕"/>
          <w:color w:val="000000"/>
          <w:sz w:val="22"/>
        </w:rPr>
        <w:widowControl w:val="off"/>
      </w:pPr>
      <w:r>
        <w:rPr>
          <w:rFonts w:ascii="Arial" w:hAnsi="Arial" w:eastAsia="바탕"/>
          <w:color w:val="000000"/>
          <w:sz w:val="22"/>
        </w:rPr>
        <w:t>첫 번째 접종 시 생후 6주에서부터 추가접종 시 11~16개월인 4,429명의 건강한 소아를 대상으로 14,267회의 투여가 이루어진 대조 임상시험들에서 이 약의 안전성이 평가되었다. 모든 시험들에서 이 약은 기본 접종 백신들과 함께 투여되었다.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rFonts w:ascii="Arial" w:hAnsi="Arial" w:eastAsia="바탕"/>
          <w:color w:val="000000"/>
          <w:sz w:val="22"/>
        </w:rPr>
        <w:t>또한, 이전에 접종받지 않은 354명의 소아(7개월에서 5세[72개월 미만]까지)에 대한 안전성 또한 평가되었다.</w:t>
      </w:r>
    </w:p>
    <w:p>
      <w:pPr>
        <w:pStyle w:val="14"/>
        <w:rPr>
          <w:rFonts w:ascii="Arial" w:hAnsi="Arial" w:eastAsia="바탕"/>
          <w:color w:val="000000"/>
          <w:sz w:val="22"/>
        </w:rPr>
        <w:widowControl w:val="off"/>
      </w:pPr>
    </w:p>
    <w:p>
      <w:pPr>
        <w:pStyle w:val="14"/>
        <w:rPr>
          <w:rFonts w:ascii="Arial" w:hAnsi="Arial" w:eastAsia="바탕"/>
          <w:color w:val="000000"/>
          <w:sz w:val="22"/>
        </w:rPr>
        <w:widowControl w:val="off"/>
      </w:pPr>
      <w:r>
        <w:rPr>
          <w:rFonts w:ascii="Arial" w:hAnsi="Arial" w:eastAsia="바탕"/>
          <w:color w:val="000000"/>
          <w:sz w:val="22"/>
        </w:rPr>
        <w:t>생후6주 이상부터 만 5세(72개월 미만)에서 가장 흔하게 보고된 약물이상반응은 접종부위반응, 발열, 과민, 식욕감퇴, 수면 증가/감소였다.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rFonts w:ascii="Arial" w:hAnsi="Arial" w:eastAsia="바탕"/>
          <w:color w:val="000000"/>
          <w:sz w:val="22"/>
        </w:rPr>
        <w:t>이 약으로 기초접종을 받은 영아에서 관찰된 접종부위반응과 비교했을 때, 12개월 이상의 영아 및 어린이에서 증가된 접종부위반응이 보고되었다.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color w:val="000000"/>
          <w:sz w:val="22"/>
        </w:rPr>
        <w:t>○</w:t>
      </w:r>
      <w:r>
        <w:rPr>
          <w:rFonts w:ascii="Arial" w:hAnsi="Arial" w:eastAsia="바탕"/>
          <w:color w:val="000000"/>
          <w:sz w:val="22"/>
        </w:rPr>
        <w:t xml:space="preserve"> 임상시험 시 보고된 약물</w:t>
      </w:r>
      <w:r>
        <w:rPr>
          <w:rFonts w:eastAsia="바탕"/>
          <w:color w:val="000000"/>
          <w:sz w:val="22"/>
        </w:rPr>
        <w:t>이상</w:t>
      </w:r>
      <w:r>
        <w:rPr>
          <w:rFonts w:eastAsia="바탕"/>
          <w:color w:val="000000"/>
          <w:sz w:val="22"/>
        </w:rPr>
        <w:t>반응</w:t>
      </w:r>
    </w:p>
    <w:p>
      <w:pPr>
        <w:pStyle w:val="14"/>
        <w:rPr>
          <w:rFonts w:ascii="Arial" w:hAnsi="Arial" w:eastAsia="바탕"/>
          <w:color w:val="000000"/>
          <w:sz w:val="22"/>
        </w:rPr>
        <w:widowControl w:val="off"/>
      </w:pPr>
      <w:r>
        <w:rPr>
          <w:rFonts w:ascii="Arial" w:hAnsi="Arial" w:eastAsia="바탕"/>
          <w:color w:val="000000"/>
          <w:sz w:val="22"/>
        </w:rPr>
        <w:t xml:space="preserve">임상시험에서 프리베나와 이 약의 안전성 프로파일은 유사하였다. </w:t>
      </w:r>
      <w:r>
        <w:rPr>
          <w:rFonts w:ascii="Arial" w:hAnsi="Arial" w:eastAsia="바탕"/>
          <w:color w:val="000000"/>
          <w:sz w:val="22"/>
        </w:rPr>
        <w:t xml:space="preserve">다음의 빈도는 </w:t>
      </w:r>
      <w:r>
        <w:rPr>
          <w:rFonts w:ascii="Arial" w:hAnsi="Arial" w:eastAsia="바탕"/>
          <w:color w:val="000000"/>
          <w:sz w:val="22"/>
        </w:rPr>
        <w:t>이 약의 임상시험에서 평가된 약물</w:t>
      </w:r>
      <w:r>
        <w:rPr>
          <w:rFonts w:eastAsia="바탕"/>
          <w:color w:val="000000"/>
          <w:sz w:val="22"/>
        </w:rPr>
        <w:t>이상</w:t>
      </w:r>
      <w:r>
        <w:rPr>
          <w:rFonts w:eastAsia="바탕"/>
          <w:color w:val="000000"/>
          <w:sz w:val="22"/>
        </w:rPr>
        <w:t>반응</w:t>
      </w:r>
      <w:r>
        <w:rPr>
          <w:rFonts w:eastAsia="바탕"/>
          <w:color w:val="000000"/>
          <w:sz w:val="22"/>
        </w:rPr>
        <w:t>에</w:t>
      </w:r>
      <w:r>
        <w:rPr>
          <w:rFonts w:ascii="Arial" w:hAnsi="Arial" w:eastAsia="바탕"/>
          <w:color w:val="000000"/>
          <w:sz w:val="22"/>
        </w:rPr>
        <w:t xml:space="preserve"> 기초하였다:</w:t>
      </w:r>
    </w:p>
    <w:tbl>
      <w:tblPr>
        <w:tblOverlap w:val="never"/>
        <w:tblW w:w="9385"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tr>
        <w:trPr>
          <w:trHeight w:val="952"/>
        </w:trPr>
        <w:tc>
          <w:tcPr>
            <w:tcW w:w="1216" w:type="dxa"/>
            <w:tcBorders>
              <w:top w:val="single" w:color="000000" w:sz="3"/>
              <w:left w:val="single" w:color="000000" w:sz="3"/>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기관계</w:t>
            </w:r>
          </w:p>
        </w:tc>
        <w:tc>
          <w:tcPr>
            <w:tcW w:w="2537"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r>
              <w:rPr>
                <w:rFonts w:ascii="한양신명조" w:hAnsi="한양신명조" w:eastAsia="한양신명조"/>
                <w:color w:val="000000"/>
                <w:sz w:val="22"/>
                <w:u w:val="single"/>
              </w:rPr>
              <w:t>매우 흔하게</w:t>
            </w:r>
          </w:p>
          <w:p>
            <w:pPr>
              <w:pStyle w:val="0"/>
              <w:rPr>
                <w:rFonts w:ascii="한양신명조" w:hAnsi="한양신명조" w:eastAsia="한양신명조"/>
                <w:color w:val="000000"/>
                <w:sz w:val="22"/>
                <w:u w:val="single"/>
                <w:shd w:val="clear" w:color="000000" w:fill="ffffff"/>
              </w:rPr>
              <w:widowControl w:val="off"/>
            </w:pPr>
            <w:r>
              <w:rPr>
                <w:rFonts w:ascii="한양신명조" w:hAnsi="한양신명조"/>
                <w:color w:val="000000"/>
                <w:sz w:val="22"/>
                <w:u w:val="single"/>
                <w:shd w:val="clear" w:color="000000" w:fill="ffffff"/>
              </w:rPr>
              <w:t>≥</w:t>
            </w:r>
            <w:r>
              <w:rPr>
                <w:rFonts w:ascii="한양신명조" w:hAnsi="한양신명조"/>
                <w:color w:val="000000"/>
                <w:sz w:val="22"/>
                <w:u w:val="single"/>
                <w:shd w:val="clear" w:color="000000" w:fill="ffffff"/>
              </w:rPr>
              <w:t xml:space="preserve"> 1/10</w:t>
            </w:r>
          </w:p>
        </w:tc>
        <w:tc>
          <w:tcPr>
            <w:tcW w:w="2235"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r>
              <w:rPr>
                <w:rFonts w:eastAsia="한양신명조"/>
                <w:color w:val="000000"/>
                <w:sz w:val="22"/>
                <w:u w:val="single"/>
              </w:rPr>
              <w:t>흔하게</w:t>
            </w:r>
          </w:p>
          <w:p>
            <w:pPr>
              <w:pStyle w:val="0"/>
              <w:rPr>
                <w:rFonts w:ascii="한양신명조" w:hAnsi="한양신명조" w:eastAsia="한양신명조"/>
                <w:color w:val="000000"/>
                <w:sz w:val="22"/>
                <w:u w:val="single"/>
                <w:shd w:val="clear" w:color="000000" w:fill="ffffff"/>
              </w:rPr>
              <w:widowControl w:val="off"/>
            </w:pPr>
            <w:r>
              <w:rPr>
                <w:rFonts w:ascii="한양신명조" w:hAnsi="한양신명조"/>
                <w:color w:val="000000"/>
                <w:sz w:val="22"/>
                <w:u w:val="single"/>
                <w:shd w:val="clear" w:color="000000" w:fill="ffffff"/>
              </w:rPr>
              <w:t>≥</w:t>
            </w:r>
            <w:r>
              <w:rPr>
                <w:rFonts w:ascii="한양신명조" w:hAnsi="한양신명조"/>
                <w:color w:val="000000"/>
                <w:sz w:val="22"/>
                <w:u w:val="single"/>
                <w:shd w:val="clear" w:color="000000" w:fill="ffffff"/>
              </w:rPr>
              <w:t xml:space="preserve"> 1/100, &lt; 1/10</w:t>
            </w:r>
          </w:p>
        </w:tc>
        <w:tc>
          <w:tcPr>
            <w:tcW w:w="1688"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 xml:space="preserve"> 흔하지 않게</w:t>
            </w:r>
          </w:p>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w:t>
            </w:r>
            <w:r>
              <w:rPr>
                <w:rFonts w:ascii="한양신명조" w:hAnsi="한양신명조"/>
                <w:color w:val="000000"/>
                <w:sz w:val="22"/>
                <w:u w:val="single"/>
              </w:rPr>
              <w:t xml:space="preserve"> 1/1000, &lt;1/100</w:t>
            </w:r>
          </w:p>
        </w:tc>
        <w:tc>
          <w:tcPr>
            <w:tcW w:w="1709" w:type="dxa"/>
            <w:tcBorders>
              <w:top w:val="single" w:color="000000" w:sz="3"/>
              <w:left w:val="single" w:color="000000" w:sz="6"/>
              <w:bottom w:val="single" w:color="000000" w:sz="3"/>
              <w:right w:val="single" w:color="000000" w:sz="3"/>
            </w:tcBorders>
            <w:vAlign w:val="top"/>
          </w:tcPr>
          <w:p>
            <w:pPr>
              <w:pStyle w:val="16"/>
              <w:rPr>
                <w:rFonts w:ascii="한양신명조" w:hAnsi="한양신명조" w:eastAsia="한양신명조"/>
                <w:b w:val="0"/>
                <w:color w:val="000000"/>
                <w:sz w:val="22"/>
                <w:u w:val="single"/>
              </w:rPr>
              <w:widowControl w:val="off"/>
            </w:pPr>
            <w:r>
              <w:rPr>
                <w:rFonts w:eastAsia="한양신명조"/>
                <w:b w:val="0"/>
                <w:color w:val="000000"/>
                <w:sz w:val="22"/>
                <w:u w:val="single"/>
              </w:rPr>
              <w:t>드물게</w:t>
            </w:r>
          </w:p>
          <w:p>
            <w:pPr>
              <w:pStyle w:val="16"/>
              <w:rPr>
                <w:rFonts w:ascii="한양신명조" w:hAnsi="한양신명조" w:eastAsia="한양신명조"/>
                <w:b w:val="0"/>
                <w:color w:val="000000"/>
                <w:sz w:val="22"/>
                <w:u w:val="single"/>
              </w:rPr>
              <w:widowControl w:val="off"/>
            </w:pPr>
            <w:r>
              <w:rPr>
                <w:rFonts w:ascii="한양신명조" w:hAnsi="한양신명조"/>
                <w:b w:val="0"/>
                <w:color w:val="000000"/>
                <w:sz w:val="22"/>
                <w:u w:val="single"/>
              </w:rPr>
              <w:t>≥</w:t>
            </w:r>
            <w:r>
              <w:rPr>
                <w:rFonts w:ascii="한양신명조" w:hAnsi="한양신명조"/>
                <w:b w:val="0"/>
                <w:color w:val="000000"/>
                <w:sz w:val="22"/>
                <w:u w:val="single"/>
              </w:rPr>
              <w:t xml:space="preserve"> 1/10000, &lt;1/1000</w:t>
            </w:r>
          </w:p>
        </w:tc>
      </w:tr>
      <w:tr>
        <w:trPr>
          <w:trHeight w:val="340"/>
        </w:trPr>
        <w:tc>
          <w:tcPr>
            <w:tcW w:w="1216" w:type="dxa"/>
            <w:tcBorders>
              <w:top w:val="single" w:color="000000" w:sz="6"/>
              <w:left w:val="single" w:color="000000" w:sz="3"/>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정신계</w:t>
            </w:r>
          </w:p>
        </w:tc>
        <w:tc>
          <w:tcPr>
            <w:tcW w:w="2537"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과민</w:t>
            </w:r>
          </w:p>
        </w:tc>
        <w:tc>
          <w:tcPr>
            <w:tcW w:w="2235"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c>
          <w:tcPr>
            <w:tcW w:w="1688"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울음</w:t>
            </w:r>
          </w:p>
        </w:tc>
        <w:tc>
          <w:tcPr>
            <w:tcW w:w="1709" w:type="dxa"/>
            <w:tcBorders>
              <w:top w:val="single" w:color="000000" w:sz="6"/>
              <w:left w:val="single" w:color="000000" w:sz="6"/>
              <w:bottom w:val="single" w:color="000000" w:sz="6"/>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r>
      <w:tr>
        <w:trPr>
          <w:trHeight w:val="896"/>
        </w:trPr>
        <w:tc>
          <w:tcPr>
            <w:tcW w:w="1216" w:type="dxa"/>
            <w:tcBorders>
              <w:top w:val="single" w:color="000000" w:sz="6"/>
              <w:left w:val="single" w:color="000000" w:sz="3"/>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신경계</w:t>
            </w:r>
          </w:p>
        </w:tc>
        <w:tc>
          <w:tcPr>
            <w:tcW w:w="2537"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u w:val="single"/>
              </w:rPr>
              <w:t>졸음/</w:t>
            </w:r>
            <w:r>
              <w:rPr>
                <w:rFonts w:eastAsia="한양신명조"/>
                <w:color w:val="000000"/>
                <w:sz w:val="22"/>
              </w:rPr>
              <w:t>수면증가</w:t>
            </w:r>
            <w:r>
              <w:rPr>
                <w:rFonts w:ascii="한양신명조" w:hAnsi="한양신명조" w:eastAsia="한양신명조"/>
                <w:color w:val="000000"/>
                <w:sz w:val="22"/>
              </w:rPr>
              <w:t>, 불안정한 수면/</w:t>
            </w:r>
            <w:r>
              <w:rPr>
                <w:rFonts w:ascii="한양신명조" w:hAnsi="한양신명조" w:eastAsia="한양신명조"/>
                <w:color w:val="000000"/>
                <w:sz w:val="22"/>
              </w:rPr>
              <w:t>수면 감소</w:t>
            </w:r>
          </w:p>
        </w:tc>
        <w:tc>
          <w:tcPr>
            <w:tcW w:w="2235"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c>
          <w:tcPr>
            <w:tcW w:w="1688"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발작(열성발작 포함)</w:t>
            </w:r>
          </w:p>
        </w:tc>
        <w:tc>
          <w:tcPr>
            <w:tcW w:w="1709" w:type="dxa"/>
            <w:tcBorders>
              <w:top w:val="single" w:color="000000" w:sz="6"/>
              <w:left w:val="single" w:color="000000" w:sz="6"/>
              <w:bottom w:val="single" w:color="000000" w:sz="6"/>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저장성-저반응 에피소드</w:t>
            </w:r>
          </w:p>
        </w:tc>
      </w:tr>
      <w:tr>
        <w:trPr>
          <w:trHeight w:val="298"/>
        </w:trPr>
        <w:tc>
          <w:tcPr>
            <w:tcW w:w="1216" w:type="dxa"/>
            <w:tcBorders>
              <w:top w:val="single" w:color="000000" w:sz="6"/>
              <w:left w:val="single" w:color="000000" w:sz="3"/>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위장관계</w:t>
            </w:r>
          </w:p>
        </w:tc>
        <w:tc>
          <w:tcPr>
            <w:tcW w:w="2537"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c>
          <w:tcPr>
            <w:tcW w:w="2235"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설사, 구토</w:t>
            </w:r>
          </w:p>
        </w:tc>
        <w:tc>
          <w:tcPr>
            <w:tcW w:w="1688" w:type="dxa"/>
            <w:tcBorders>
              <w:top w:val="single" w:color="000000" w:sz="6"/>
              <w:left w:val="single" w:color="000000" w:sz="6"/>
              <w:bottom w:val="single" w:color="000000" w:sz="6"/>
              <w:right w:val="single" w:color="000000" w:sz="6"/>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c>
          <w:tcPr>
            <w:tcW w:w="1709" w:type="dxa"/>
            <w:tcBorders>
              <w:top w:val="single" w:color="000000" w:sz="6"/>
              <w:left w:val="single" w:color="000000" w:sz="6"/>
              <w:bottom w:val="single" w:color="000000" w:sz="6"/>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r>
      <w:tr>
        <w:trPr>
          <w:trHeight w:val="807"/>
        </w:trPr>
        <w:tc>
          <w:tcPr>
            <w:tcW w:w="1216" w:type="dxa"/>
            <w:tcBorders>
              <w:top w:val="single" w:color="000000" w:sz="6"/>
              <w:left w:val="single" w:color="000000" w:sz="3"/>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피부 및 피하조직</w:t>
            </w:r>
          </w:p>
        </w:tc>
        <w:tc>
          <w:tcPr>
            <w:tcW w:w="2537"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c>
          <w:tcPr>
            <w:tcW w:w="2235"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발진</w:t>
            </w:r>
          </w:p>
        </w:tc>
        <w:tc>
          <w:tcPr>
            <w:tcW w:w="1688"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두드러기 또는 두드러기성 발진</w:t>
            </w:r>
          </w:p>
        </w:tc>
        <w:tc>
          <w:tcPr>
            <w:tcW w:w="1709" w:type="dxa"/>
            <w:tcBorders>
              <w:top w:val="single" w:color="000000" w:sz="6"/>
              <w:left w:val="single" w:color="000000" w:sz="6"/>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 xml:space="preserve"> </w:t>
            </w:r>
          </w:p>
        </w:tc>
      </w:tr>
      <w:tr>
        <w:trPr>
          <w:trHeight w:val="2514"/>
        </w:trPr>
        <w:tc>
          <w:tcPr>
            <w:tcW w:w="1216" w:type="dxa"/>
            <w:tcBorders>
              <w:top w:val="single" w:color="000000" w:sz="3"/>
              <w:left w:val="single" w:color="000000" w:sz="3"/>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전신증상 및 접종부위</w:t>
            </w:r>
          </w:p>
        </w:tc>
        <w:tc>
          <w:tcPr>
            <w:tcW w:w="2537" w:type="dxa"/>
            <w:tcBorders>
              <w:top w:val="single" w:color="000000" w:sz="3"/>
              <w:left w:val="single" w:color="000000" w:sz="6"/>
              <w:bottom w:val="single" w:color="000000" w:sz="3"/>
              <w:right w:val="single" w:color="000000" w:sz="6"/>
            </w:tcBorders>
            <w:vAlign w:val="top"/>
          </w:tcPr>
          <w:p>
            <w:pPr>
              <w:pStyle w:val="17"/>
              <w:rPr>
                <w:rFonts w:ascii="한양신명조" w:hAnsi="한양신명조" w:eastAsia="한양신명조"/>
                <w:b w:val="0"/>
                <w:color w:val="000000"/>
                <w:u w:val="single"/>
              </w:rPr>
              <w:widowControl w:val="off"/>
            </w:pPr>
            <w:r>
              <w:rPr>
                <w:rFonts w:ascii="한양신명조" w:hAnsi="한양신명조" w:eastAsia="한양신명조"/>
                <w:b w:val="0"/>
                <w:color w:val="000000"/>
                <w:u w:val="single"/>
              </w:rPr>
              <w:t>발열, 접종부위 홍반, 경화 /종창, 통증/압통, 2.5~7.0cm의 접종부위 경화/종창 또는 홍반(추가접종 후와 소아(만 2세~만 5세(72개월 미만)에서)</w:t>
            </w:r>
          </w:p>
        </w:tc>
        <w:tc>
          <w:tcPr>
            <w:tcW w:w="2235"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color w:val="000000"/>
                <w:sz w:val="22"/>
                <w:u w:val="single"/>
              </w:rPr>
              <w:t>39</w:t>
            </w:r>
            <w:r>
              <w:rPr>
                <w:rFonts w:ascii="한양신명조" w:hAnsi="한양신명조" w:eastAsia="한양신명조"/>
                <w:color w:val="000000"/>
                <w:sz w:val="22"/>
                <w:u w:val="single"/>
              </w:rPr>
              <w:t>℃가</w:t>
            </w:r>
            <w:r>
              <w:rPr>
                <w:rFonts w:ascii="한양신명조" w:hAnsi="한양신명조" w:eastAsia="한양신명조"/>
                <w:color w:val="000000"/>
                <w:sz w:val="22"/>
                <w:u w:val="single"/>
              </w:rPr>
              <w:t xml:space="preserve"> 넘는 발열, 2.5~7.0cm의 접종부위 경화/종창 또는 홍반(영아 기초접종 후), 운동 장애가 있는 접종부위 통증/압통</w:t>
            </w:r>
          </w:p>
        </w:tc>
        <w:tc>
          <w:tcPr>
            <w:tcW w:w="1688"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p>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7.0cm가 넘는 접종부위 경화/종창 또는 홍반</w:t>
            </w:r>
          </w:p>
        </w:tc>
        <w:tc>
          <w:tcPr>
            <w:tcW w:w="1709" w:type="dxa"/>
            <w:tcBorders>
              <w:top w:val="single" w:color="000000" w:sz="3"/>
              <w:left w:val="single" w:color="000000" w:sz="6"/>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p>
        </w:tc>
      </w:tr>
      <w:tr>
        <w:trPr>
          <w:trHeight w:val="712"/>
        </w:trPr>
        <w:tc>
          <w:tcPr>
            <w:tcW w:w="1216" w:type="dxa"/>
            <w:tcBorders>
              <w:top w:val="single" w:color="000000" w:sz="3"/>
              <w:left w:val="single" w:color="000000" w:sz="3"/>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면역계</w:t>
            </w:r>
          </w:p>
        </w:tc>
        <w:tc>
          <w:tcPr>
            <w:tcW w:w="2537" w:type="dxa"/>
            <w:tcBorders>
              <w:top w:val="single" w:color="000000" w:sz="3"/>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p>
        </w:tc>
        <w:tc>
          <w:tcPr>
            <w:tcW w:w="2235" w:type="dxa"/>
            <w:tcBorders>
              <w:top w:val="single" w:color="000000" w:sz="3"/>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p>
        </w:tc>
        <w:tc>
          <w:tcPr>
            <w:tcW w:w="1688" w:type="dxa"/>
            <w:tcBorders>
              <w:top w:val="single" w:color="000000" w:sz="3"/>
              <w:left w:val="single" w:color="000000" w:sz="6"/>
              <w:bottom w:val="single" w:color="000000" w:sz="6"/>
              <w:right w:val="single" w:color="000000" w:sz="6"/>
            </w:tcBorders>
            <w:vAlign w:val="top"/>
          </w:tcPr>
          <w:p>
            <w:pPr>
              <w:pStyle w:val="15"/>
              <w:rPr>
                <w:rFonts w:ascii="한양신명조" w:hAnsi="한양신명조" w:eastAsia="한양신명조"/>
                <w:color w:val="000000"/>
                <w:sz w:val="22"/>
                <w:u w:val="single"/>
              </w:rPr>
              <w:widowControl w:val="off"/>
            </w:pPr>
          </w:p>
        </w:tc>
        <w:tc>
          <w:tcPr>
            <w:tcW w:w="1709" w:type="dxa"/>
            <w:tcBorders>
              <w:top w:val="single" w:color="000000" w:sz="3"/>
              <w:left w:val="single" w:color="000000" w:sz="6"/>
              <w:bottom w:val="single" w:color="000000" w:sz="6"/>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안면부종, 호흡곤란, 기관지경련 등을 포함한 과민반응</w:t>
            </w:r>
          </w:p>
        </w:tc>
      </w:tr>
      <w:tr>
        <w:trPr>
          <w:trHeight w:val="580"/>
        </w:trPr>
        <w:tc>
          <w:tcPr>
            <w:tcW w:w="1216" w:type="dxa"/>
            <w:tcBorders>
              <w:top w:val="single" w:color="000000" w:sz="6"/>
              <w:left w:val="single" w:color="000000" w:sz="3"/>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대사 및 영양</w:t>
            </w:r>
          </w:p>
        </w:tc>
        <w:tc>
          <w:tcPr>
            <w:tcW w:w="2537"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식욕감퇴</w:t>
            </w:r>
          </w:p>
        </w:tc>
        <w:tc>
          <w:tcPr>
            <w:tcW w:w="2235"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p>
        </w:tc>
        <w:tc>
          <w:tcPr>
            <w:tcW w:w="1688" w:type="dxa"/>
            <w:tcBorders>
              <w:top w:val="single" w:color="000000" w:sz="3"/>
              <w:left w:val="single" w:color="000000" w:sz="6"/>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p>
        </w:tc>
        <w:tc>
          <w:tcPr>
            <w:tcW w:w="1709" w:type="dxa"/>
            <w:tcBorders>
              <w:top w:val="single" w:color="000000" w:sz="3"/>
              <w:left w:val="single" w:color="000000" w:sz="6"/>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p>
        </w:tc>
      </w:tr>
    </w:tbl>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color w:val="000000"/>
          <w:sz w:val="22"/>
        </w:rPr>
        <w:t>○</w:t>
      </w:r>
      <w:r>
        <w:rPr>
          <w:rFonts w:ascii="Arial" w:hAnsi="Arial" w:eastAsia="바탕"/>
          <w:color w:val="000000"/>
          <w:sz w:val="22"/>
        </w:rPr>
        <w:t xml:space="preserve"> 특정집단에서의 추가정보</w:t>
      </w:r>
    </w:p>
    <w:p>
      <w:pPr>
        <w:pStyle w:val="14"/>
        <w:rPr>
          <w:rFonts w:ascii="Arial" w:hAnsi="Arial" w:eastAsia="바탕"/>
          <w:color w:val="000000"/>
          <w:sz w:val="22"/>
        </w:rPr>
        <w:widowControl w:val="off"/>
      </w:pPr>
      <w:r>
        <w:rPr>
          <w:rFonts w:ascii="Arial" w:hAnsi="Arial" w:eastAsia="바탕"/>
          <w:color w:val="000000"/>
          <w:sz w:val="22"/>
        </w:rPr>
        <w:t>극미숙아(</w:t>
      </w:r>
      <w:r>
        <w:rPr>
          <w:rFonts w:eastAsia="바탕"/>
          <w:color w:val="000000"/>
          <w:sz w:val="22"/>
        </w:rPr>
        <w:t>임신</w:t>
      </w:r>
      <w:r>
        <w:rPr>
          <w:rFonts w:ascii="Arial" w:hAnsi="Arial" w:eastAsia="바탕"/>
          <w:color w:val="000000"/>
          <w:sz w:val="22"/>
        </w:rPr>
        <w:t>기간이 28주 이하)에서의 무호흡</w:t>
      </w:r>
    </w:p>
    <w:p>
      <w:pPr>
        <w:pStyle w:val="14"/>
        <w:rPr>
          <w:rFonts w:ascii="Arial" w:hAnsi="Arial" w:eastAsia="바탕"/>
          <w:color w:val="000000"/>
          <w:sz w:val="22"/>
        </w:rPr>
        <w:widowControl w:val="off"/>
        <w:spacing w:line="360" w:lineRule="auto"/>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b/>
          <w:color w:val="000000"/>
          <w:sz w:val="22"/>
        </w:rPr>
        <w:t xml:space="preserve">(2) </w:t>
      </w:r>
      <w:r>
        <w:rPr>
          <w:rFonts w:ascii="Arial" w:hAnsi="Arial" w:eastAsia="바탕"/>
          <w:b/>
          <w:color w:val="0000ff"/>
          <w:sz w:val="22"/>
          <w:u w:val="single" w:color="0000ff"/>
        </w:rPr>
        <w:t>만 6세부터</w:t>
      </w:r>
      <w:r>
        <w:rPr>
          <w:rFonts w:ascii="Arial" w:hAnsi="Arial" w:eastAsia="바탕"/>
          <w:b/>
          <w:color w:val="000000"/>
          <w:sz w:val="22"/>
        </w:rPr>
        <w:t xml:space="preserve"> 만 17세까지의 어린이 및 청소년</w:t>
      </w:r>
    </w:p>
    <w:p>
      <w:pPr>
        <w:pStyle w:val="14"/>
        <w:rPr>
          <w:rFonts w:ascii="Arial" w:hAnsi="Arial" w:eastAsia="바탕"/>
          <w:color w:val="000000"/>
          <w:sz w:val="22"/>
        </w:rPr>
        <w:widowControl w:val="off"/>
      </w:pPr>
      <w:r>
        <w:rPr>
          <w:rFonts w:ascii="Arial" w:hAnsi="Arial" w:eastAsia="바탕"/>
          <w:color w:val="000000"/>
          <w:sz w:val="22"/>
        </w:rPr>
        <w:t xml:space="preserve">어린이 및 청소년 592명에 대한 안전성이 평가되었다. (이전에 프리베나를 1회 이상 투여받은 </w:t>
      </w:r>
      <w:r>
        <w:rPr>
          <w:rFonts w:ascii="Arial" w:hAnsi="Arial" w:eastAsia="바탕"/>
          <w:color w:val="000000"/>
          <w:sz w:val="22"/>
        </w:rPr>
        <w:t>만 5~10세</w:t>
      </w:r>
      <w:r>
        <w:rPr>
          <w:rFonts w:ascii="Arial" w:hAnsi="Arial" w:eastAsia="바탕"/>
          <w:color w:val="000000"/>
          <w:sz w:val="22"/>
        </w:rPr>
        <w:t>의 어린이 294명 및 이전에 폐렴구균백신을 투여받은 적이 없는 만 10~17세 어린이 및 청소년 298명이 포함됨)</w:t>
      </w:r>
    </w:p>
    <w:p>
      <w:pPr>
        <w:pStyle w:val="14"/>
        <w:rPr>
          <w:rFonts w:ascii="Arial" w:hAnsi="Arial" w:eastAsia="바탕"/>
          <w:color w:val="000000"/>
          <w:sz w:val="22"/>
        </w:rPr>
        <w:widowControl w:val="off"/>
      </w:pPr>
    </w:p>
    <w:p>
      <w:pPr>
        <w:pStyle w:val="14"/>
        <w:rPr>
          <w:rFonts w:ascii="Arial" w:hAnsi="Arial" w:eastAsia="바탕"/>
          <w:color w:val="000000"/>
          <w:sz w:val="22"/>
        </w:rPr>
        <w:widowControl w:val="off"/>
      </w:pPr>
      <w:r>
        <w:rPr>
          <w:rFonts w:ascii="Arial" w:hAnsi="Arial" w:eastAsia="바탕"/>
          <w:color w:val="000000"/>
          <w:sz w:val="22"/>
        </w:rPr>
        <w:t>만 6~17세의 어린이 및 청소년에서 가장 흔하게 보고된 약물</w:t>
      </w:r>
      <w:r>
        <w:rPr>
          <w:rFonts w:eastAsia="바탕"/>
          <w:color w:val="000000"/>
          <w:sz w:val="22"/>
        </w:rPr>
        <w:t>이상</w:t>
      </w:r>
      <w:r>
        <w:rPr>
          <w:rFonts w:ascii="Arial" w:hAnsi="Arial" w:eastAsia="바탕"/>
          <w:color w:val="000000"/>
          <w:sz w:val="22"/>
        </w:rPr>
        <w:t>반응은 다음과 같다:</w:t>
      </w:r>
    </w:p>
    <w:tbl>
      <w:tblPr>
        <w:tblOverlap w:val="never"/>
        <w:tblW w:w="9497"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tr>
        <w:trPr>
          <w:trHeight w:val="612"/>
        </w:trPr>
        <w:tc>
          <w:tcPr>
            <w:tcW w:w="2009" w:type="dxa"/>
            <w:tcBorders>
              <w:top w:val="single" w:color="000000" w:sz="6"/>
              <w:left w:val="single" w:color="000000" w:sz="3"/>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eastAsia="한양신명조"/>
                <w:color w:val="000000"/>
                <w:sz w:val="22"/>
              </w:rPr>
              <w:t>기관계</w:t>
            </w:r>
          </w:p>
        </w:tc>
        <w:tc>
          <w:tcPr>
            <w:tcW w:w="3216"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 xml:space="preserve">매우 흔하게 </w:t>
            </w:r>
          </w:p>
          <w:p>
            <w:pPr>
              <w:pStyle w:val="15"/>
              <w:rPr>
                <w:rFonts w:ascii="한양신명조" w:hAnsi="한양신명조" w:eastAsia="한양신명조"/>
                <w:color w:val="000000"/>
                <w:sz w:val="22"/>
              </w:rPr>
              <w:widowControl w:val="off"/>
            </w:pPr>
            <w:r>
              <w:rPr>
                <w:rFonts w:ascii="한양신명조" w:hAnsi="한양신명조"/>
                <w:color w:val="000000"/>
                <w:sz w:val="22"/>
              </w:rPr>
              <w:t>≥</w:t>
            </w:r>
            <w:r>
              <w:rPr>
                <w:rFonts w:ascii="한양신명조" w:hAnsi="한양신명조"/>
                <w:color w:val="000000"/>
                <w:sz w:val="22"/>
              </w:rPr>
              <w:t xml:space="preserve"> 1/10</w:t>
            </w:r>
          </w:p>
        </w:tc>
        <w:tc>
          <w:tcPr>
            <w:tcW w:w="4273"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 xml:space="preserve">흔하게 </w:t>
            </w:r>
          </w:p>
          <w:p>
            <w:pPr>
              <w:pStyle w:val="15"/>
              <w:rPr>
                <w:rFonts w:ascii="한양신명조" w:hAnsi="한양신명조" w:eastAsia="한양신명조"/>
                <w:color w:val="000000"/>
                <w:sz w:val="22"/>
              </w:rPr>
              <w:widowControl w:val="off"/>
            </w:pPr>
            <w:r>
              <w:rPr>
                <w:rFonts w:ascii="한양신명조" w:hAnsi="한양신명조"/>
                <w:color w:val="000000"/>
                <w:sz w:val="22"/>
              </w:rPr>
              <w:t>≥</w:t>
            </w:r>
            <w:r>
              <w:rPr>
                <w:rFonts w:ascii="한양신명조" w:hAnsi="한양신명조"/>
                <w:color w:val="000000"/>
                <w:sz w:val="22"/>
              </w:rPr>
              <w:t xml:space="preserve"> 1/100, &lt; 1/10</w:t>
            </w:r>
          </w:p>
        </w:tc>
      </w:tr>
      <w:tr>
        <w:trPr>
          <w:trHeight w:val="303"/>
        </w:trPr>
        <w:tc>
          <w:tcPr>
            <w:tcW w:w="2009" w:type="dxa"/>
            <w:tcBorders>
              <w:top w:val="single" w:color="000000" w:sz="3"/>
              <w:left w:val="single" w:color="000000" w:sz="3"/>
              <w:bottom w:val="single" w:color="000000" w:sz="3"/>
              <w:right w:val="single" w:color="000000" w:sz="3"/>
            </w:tcBorders>
            <w:vAlign w:val="top"/>
          </w:tcPr>
          <w:p>
            <w:pPr>
              <w:pStyle w:val="16"/>
              <w:rPr>
                <w:rFonts w:ascii="Arial" w:hAnsi="Arial"/>
                <w:b w:val="0"/>
                <w:color w:val="000000"/>
                <w:sz w:val="22"/>
              </w:rPr>
              <w:widowControl w:val="off"/>
              <w:jc w:val="left"/>
            </w:pPr>
            <w:r>
              <w:rPr>
                <w:b w:val="0"/>
                <w:color w:val="000000"/>
                <w:sz w:val="22"/>
              </w:rPr>
              <w:t>정신계</w:t>
            </w:r>
          </w:p>
        </w:tc>
        <w:tc>
          <w:tcPr>
            <w:tcW w:w="3216" w:type="dxa"/>
            <w:tcBorders>
              <w:top w:val="single" w:color="000000" w:sz="3"/>
              <w:left w:val="single" w:color="000000" w:sz="3"/>
              <w:bottom w:val="single" w:color="000000" w:sz="3"/>
              <w:right w:val="single" w:color="000000" w:sz="3"/>
            </w:tcBorders>
            <w:vAlign w:val="top"/>
          </w:tcPr>
          <w:p>
            <w:pPr>
              <w:pStyle w:val="15"/>
              <w:rPr>
                <w:rFonts w:ascii="바탕" w:hAnsi="바탕"/>
                <w:color w:val="000000"/>
                <w:sz w:val="22"/>
              </w:rPr>
              <w:widowControl w:val="off"/>
            </w:pPr>
            <w:r>
              <w:rPr>
                <w:color w:val="000000"/>
                <w:sz w:val="22"/>
              </w:rPr>
              <w:t>과민</w:t>
            </w:r>
          </w:p>
        </w:tc>
        <w:tc>
          <w:tcPr>
            <w:tcW w:w="4273" w:type="dxa"/>
            <w:tcBorders>
              <w:top w:val="single" w:color="000000" w:sz="3"/>
              <w:left w:val="single" w:color="000000" w:sz="3"/>
              <w:bottom w:val="single" w:color="000000" w:sz="3"/>
              <w:right w:val="single" w:color="000000" w:sz="3"/>
            </w:tcBorders>
            <w:vAlign w:val="top"/>
          </w:tcPr>
          <w:p>
            <w:pPr>
              <w:pStyle w:val="15"/>
              <w:rPr>
                <w:color w:val="000000"/>
                <w:sz w:val="22"/>
              </w:rPr>
              <w:widowControl w:val="off"/>
            </w:pPr>
            <w:r>
              <w:rPr>
                <w:color w:val="000000"/>
                <w:sz w:val="22"/>
              </w:rPr>
              <w:t xml:space="preserve"> </w:t>
            </w:r>
          </w:p>
        </w:tc>
      </w:tr>
      <w:tr>
        <w:trPr>
          <w:trHeight w:val="581"/>
        </w:trPr>
        <w:tc>
          <w:tcPr>
            <w:tcW w:w="2009" w:type="dxa"/>
            <w:tcBorders>
              <w:top w:val="single" w:color="000000" w:sz="3"/>
              <w:left w:val="single" w:color="000000" w:sz="3"/>
              <w:bottom w:val="single" w:color="000000" w:sz="3"/>
              <w:right w:val="single" w:color="000000" w:sz="3"/>
            </w:tcBorders>
            <w:vAlign w:val="top"/>
          </w:tcPr>
          <w:p>
            <w:pPr>
              <w:pStyle w:val="16"/>
              <w:rPr>
                <w:rFonts w:ascii="Arial" w:hAnsi="Arial"/>
                <w:b w:val="0"/>
                <w:color w:val="000000"/>
                <w:sz w:val="22"/>
              </w:rPr>
              <w:widowControl w:val="off"/>
              <w:jc w:val="left"/>
            </w:pPr>
            <w:r>
              <w:rPr>
                <w:b w:val="0"/>
                <w:color w:val="000000"/>
                <w:sz w:val="22"/>
              </w:rPr>
              <w:t>신경계</w:t>
            </w:r>
          </w:p>
        </w:tc>
        <w:tc>
          <w:tcPr>
            <w:tcW w:w="3216" w:type="dxa"/>
            <w:tcBorders>
              <w:top w:val="single" w:color="000000" w:sz="3"/>
              <w:left w:val="single" w:color="000000" w:sz="3"/>
              <w:bottom w:val="single" w:color="000000" w:sz="3"/>
              <w:right w:val="single" w:color="000000" w:sz="3"/>
            </w:tcBorders>
            <w:vAlign w:val="top"/>
          </w:tcPr>
          <w:p>
            <w:pPr>
              <w:pStyle w:val="15"/>
              <w:rPr>
                <w:rFonts w:ascii="Arial" w:hAnsi="Arial"/>
                <w:color w:val="000000"/>
                <w:sz w:val="22"/>
              </w:rPr>
              <w:widowControl w:val="off"/>
            </w:pPr>
            <w:r>
              <w:rPr>
                <w:rFonts w:ascii="Arial" w:hAnsi="Arial"/>
                <w:color w:val="000000"/>
                <w:sz w:val="22"/>
              </w:rPr>
              <w:t>졸음/</w:t>
            </w:r>
            <w:r>
              <w:rPr>
                <w:color w:val="000000"/>
                <w:sz w:val="22"/>
              </w:rPr>
              <w:t>수면증가</w:t>
            </w:r>
            <w:r>
              <w:rPr>
                <w:rFonts w:ascii="Arial" w:hAnsi="Arial"/>
                <w:color w:val="000000"/>
                <w:sz w:val="22"/>
              </w:rPr>
              <w:t>, 불안정한 수면/</w:t>
            </w:r>
            <w:r>
              <w:rPr>
                <w:rFonts w:ascii="Arial" w:hAnsi="Arial"/>
                <w:color w:val="000000"/>
                <w:sz w:val="22"/>
              </w:rPr>
              <w:t>수면 감소</w:t>
            </w:r>
          </w:p>
        </w:tc>
        <w:tc>
          <w:tcPr>
            <w:tcW w:w="4273" w:type="dxa"/>
            <w:tcBorders>
              <w:top w:val="single" w:color="000000" w:sz="3"/>
              <w:left w:val="single" w:color="000000" w:sz="3"/>
              <w:bottom w:val="single" w:color="000000" w:sz="3"/>
              <w:right w:val="single" w:color="000000" w:sz="3"/>
            </w:tcBorders>
            <w:vAlign w:val="top"/>
          </w:tcPr>
          <w:p>
            <w:pPr>
              <w:pStyle w:val="15"/>
              <w:rPr>
                <w:rFonts w:ascii="바탕" w:hAnsi="바탕"/>
                <w:color w:val="000000"/>
                <w:sz w:val="22"/>
              </w:rPr>
              <w:widowControl w:val="off"/>
            </w:pPr>
            <w:r>
              <w:rPr>
                <w:color w:val="000000"/>
                <w:sz w:val="22"/>
              </w:rPr>
              <w:t>두통</w:t>
            </w:r>
          </w:p>
        </w:tc>
      </w:tr>
      <w:tr>
        <w:trPr>
          <w:trHeight w:val="387"/>
        </w:trPr>
        <w:tc>
          <w:tcPr>
            <w:tcW w:w="2009" w:type="dxa"/>
            <w:tcBorders>
              <w:top w:val="single" w:color="000000" w:sz="3"/>
              <w:left w:val="single" w:color="000000" w:sz="3"/>
              <w:bottom w:val="single" w:color="000000" w:sz="3"/>
              <w:right w:val="single" w:color="000000" w:sz="3"/>
            </w:tcBorders>
            <w:vAlign w:val="top"/>
          </w:tcPr>
          <w:p>
            <w:pPr>
              <w:pStyle w:val="16"/>
              <w:rPr>
                <w:rFonts w:ascii="Arial" w:hAnsi="Arial"/>
                <w:b w:val="0"/>
                <w:color w:val="000000"/>
                <w:sz w:val="22"/>
              </w:rPr>
              <w:widowControl w:val="off"/>
              <w:jc w:val="left"/>
            </w:pPr>
            <w:r>
              <w:rPr>
                <w:b w:val="0"/>
                <w:color w:val="000000"/>
                <w:sz w:val="22"/>
              </w:rPr>
              <w:t>위장관계</w:t>
            </w:r>
          </w:p>
        </w:tc>
        <w:tc>
          <w:tcPr>
            <w:tcW w:w="3216" w:type="dxa"/>
            <w:tcBorders>
              <w:top w:val="single" w:color="000000" w:sz="3"/>
              <w:left w:val="single" w:color="000000" w:sz="3"/>
              <w:bottom w:val="single" w:color="000000" w:sz="3"/>
              <w:right w:val="single" w:color="000000" w:sz="3"/>
            </w:tcBorders>
            <w:vAlign w:val="top"/>
          </w:tcPr>
          <w:p>
            <w:pPr>
              <w:pStyle w:val="15"/>
              <w:rPr>
                <w:color w:val="000000"/>
                <w:sz w:val="22"/>
              </w:rPr>
              <w:widowControl w:val="off"/>
            </w:pPr>
            <w:r>
              <w:rPr>
                <w:color w:val="000000"/>
                <w:sz w:val="22"/>
              </w:rPr>
              <w:t xml:space="preserve">  </w:t>
            </w:r>
          </w:p>
        </w:tc>
        <w:tc>
          <w:tcPr>
            <w:tcW w:w="4273" w:type="dxa"/>
            <w:tcBorders>
              <w:top w:val="single" w:color="000000" w:sz="3"/>
              <w:left w:val="single" w:color="000000" w:sz="3"/>
              <w:bottom w:val="single" w:color="000000" w:sz="3"/>
              <w:right w:val="single" w:color="000000" w:sz="3"/>
            </w:tcBorders>
            <w:vAlign w:val="top"/>
          </w:tcPr>
          <w:p>
            <w:pPr>
              <w:pStyle w:val="15"/>
              <w:rPr>
                <w:rFonts w:ascii="Arial" w:hAnsi="Arial"/>
                <w:color w:val="000000"/>
                <w:sz w:val="22"/>
              </w:rPr>
              <w:widowControl w:val="off"/>
            </w:pPr>
            <w:r>
              <w:rPr>
                <w:rFonts w:ascii="Arial" w:hAnsi="Arial"/>
                <w:color w:val="000000"/>
                <w:sz w:val="22"/>
              </w:rPr>
              <w:t>설사, 구토</w:t>
            </w:r>
          </w:p>
        </w:tc>
      </w:tr>
      <w:tr>
        <w:trPr>
          <w:trHeight w:val="559"/>
        </w:trPr>
        <w:tc>
          <w:tcPr>
            <w:tcW w:w="2009" w:type="dxa"/>
            <w:tcBorders>
              <w:top w:val="single" w:color="000000" w:sz="3"/>
              <w:left w:val="single" w:color="000000" w:sz="3"/>
              <w:bottom w:val="single" w:color="000000" w:sz="3"/>
              <w:right w:val="single" w:color="000000" w:sz="3"/>
            </w:tcBorders>
            <w:vAlign w:val="top"/>
          </w:tcPr>
          <w:p>
            <w:pPr>
              <w:pStyle w:val="16"/>
              <w:rPr>
                <w:rFonts w:ascii="Arial" w:hAnsi="Arial"/>
                <w:b w:val="0"/>
                <w:color w:val="000000"/>
                <w:sz w:val="22"/>
              </w:rPr>
              <w:widowControl w:val="off"/>
              <w:jc w:val="left"/>
            </w:pPr>
            <w:r>
              <w:rPr>
                <w:rFonts w:ascii="Arial" w:hAnsi="Arial"/>
                <w:b w:val="0"/>
                <w:color w:val="000000"/>
                <w:sz w:val="22"/>
              </w:rPr>
              <w:t>피부 및 피하조직</w:t>
            </w:r>
          </w:p>
        </w:tc>
        <w:tc>
          <w:tcPr>
            <w:tcW w:w="3216" w:type="dxa"/>
            <w:tcBorders>
              <w:top w:val="single" w:color="000000" w:sz="3"/>
              <w:left w:val="single" w:color="000000" w:sz="3"/>
              <w:bottom w:val="single" w:color="000000" w:sz="3"/>
              <w:right w:val="single" w:color="000000" w:sz="3"/>
            </w:tcBorders>
            <w:vAlign w:val="top"/>
          </w:tcPr>
          <w:p>
            <w:pPr>
              <w:pStyle w:val="15"/>
              <w:rPr>
                <w:color w:val="000000"/>
                <w:sz w:val="22"/>
              </w:rPr>
              <w:widowControl w:val="off"/>
            </w:pPr>
            <w:r>
              <w:rPr>
                <w:color w:val="000000"/>
                <w:sz w:val="22"/>
              </w:rPr>
              <w:t xml:space="preserve"> </w:t>
            </w:r>
          </w:p>
        </w:tc>
        <w:tc>
          <w:tcPr>
            <w:tcW w:w="4273" w:type="dxa"/>
            <w:tcBorders>
              <w:top w:val="single" w:color="000000" w:sz="3"/>
              <w:left w:val="single" w:color="000000" w:sz="3"/>
              <w:bottom w:val="single" w:color="000000" w:sz="3"/>
              <w:right w:val="single" w:color="000000" w:sz="3"/>
            </w:tcBorders>
            <w:vAlign w:val="top"/>
          </w:tcPr>
          <w:p>
            <w:pPr>
              <w:pStyle w:val="17"/>
              <w:rPr/>
              <w:widowControl w:val="off"/>
            </w:pPr>
            <w:r>
              <w:rPr>
                <w:rFonts w:eastAsia="바탕"/>
                <w:b w:val="0"/>
                <w:color w:val="000000"/>
              </w:rPr>
              <w:t>발진</w:t>
            </w:r>
            <w:r>
              <w:rPr>
                <w:b w:val="0"/>
                <w:color w:val="000000"/>
              </w:rPr>
              <w:t xml:space="preserve">, </w:t>
            </w:r>
            <w:r>
              <w:rPr>
                <w:rFonts w:ascii="Arial" w:hAnsi="Arial" w:eastAsia="바탕"/>
                <w:b w:val="0"/>
                <w:color w:val="000000"/>
              </w:rPr>
              <w:t>두드러기 또는 두드러기성 발진</w:t>
            </w:r>
            <w:r>
              <w:rPr/>
              <w:t xml:space="preserve"> </w:t>
            </w:r>
          </w:p>
        </w:tc>
      </w:tr>
      <w:tr>
        <w:trPr>
          <w:trHeight w:val="969"/>
        </w:trPr>
        <w:tc>
          <w:tcPr>
            <w:tcW w:w="2009" w:type="dxa"/>
            <w:tcBorders>
              <w:top w:val="single" w:color="000000" w:sz="3"/>
              <w:left w:val="single" w:color="000000" w:sz="3"/>
              <w:bottom w:val="single" w:color="000000" w:sz="3"/>
              <w:right w:val="single" w:color="000000" w:sz="3"/>
            </w:tcBorders>
            <w:vAlign w:val="top"/>
          </w:tcPr>
          <w:p>
            <w:pPr>
              <w:pStyle w:val="16"/>
              <w:rPr>
                <w:rFonts w:ascii="Arial" w:hAnsi="Arial"/>
                <w:b w:val="0"/>
                <w:color w:val="000000"/>
                <w:sz w:val="22"/>
              </w:rPr>
              <w:widowControl w:val="off"/>
              <w:jc w:val="left"/>
            </w:pPr>
            <w:r>
              <w:rPr>
                <w:rFonts w:ascii="Arial" w:hAnsi="Arial"/>
                <w:b w:val="0"/>
                <w:color w:val="000000"/>
                <w:sz w:val="22"/>
              </w:rPr>
              <w:t>전신증상 및 접종부위</w:t>
            </w:r>
          </w:p>
        </w:tc>
        <w:tc>
          <w:tcPr>
            <w:tcW w:w="3216" w:type="dxa"/>
            <w:tcBorders>
              <w:top w:val="single" w:color="000000" w:sz="3"/>
              <w:left w:val="single" w:color="000000" w:sz="3"/>
              <w:bottom w:val="single" w:color="000000" w:sz="3"/>
              <w:right w:val="single" w:color="000000" w:sz="3"/>
            </w:tcBorders>
            <w:vAlign w:val="top"/>
          </w:tcPr>
          <w:p>
            <w:pPr>
              <w:pStyle w:val="15"/>
              <w:rPr>
                <w:rFonts w:ascii="Arial" w:hAnsi="Arial"/>
                <w:color w:val="000000"/>
                <w:sz w:val="22"/>
              </w:rPr>
              <w:widowControl w:val="off"/>
            </w:pPr>
            <w:r>
              <w:rPr>
                <w:rFonts w:ascii="Arial" w:hAnsi="Arial"/>
                <w:color w:val="000000"/>
                <w:sz w:val="22"/>
              </w:rPr>
              <w:t>접종부위 홍반, 경화/종창 또는 통증/압통, 운동장애가 있는 접종부위 압통</w:t>
            </w:r>
          </w:p>
        </w:tc>
        <w:tc>
          <w:tcPr>
            <w:tcW w:w="4273" w:type="dxa"/>
            <w:tcBorders>
              <w:top w:val="single" w:color="000000" w:sz="3"/>
              <w:left w:val="single" w:color="000000" w:sz="3"/>
              <w:bottom w:val="single" w:color="000000" w:sz="3"/>
              <w:right w:val="single" w:color="000000" w:sz="3"/>
            </w:tcBorders>
            <w:vAlign w:val="top"/>
          </w:tcPr>
          <w:p>
            <w:pPr>
              <w:pStyle w:val="15"/>
              <w:rPr>
                <w:rFonts w:ascii="Arial" w:hAnsi="Arial"/>
                <w:color w:val="000000"/>
                <w:sz w:val="22"/>
              </w:rPr>
              <w:widowControl w:val="off"/>
            </w:pPr>
            <w:r>
              <w:rPr>
                <w:color w:val="000000"/>
                <w:sz w:val="22"/>
              </w:rPr>
              <w:t>발열</w:t>
            </w:r>
          </w:p>
        </w:tc>
      </w:tr>
      <w:tr>
        <w:trPr>
          <w:trHeight w:val="364"/>
        </w:trPr>
        <w:tc>
          <w:tcPr>
            <w:tcW w:w="2009" w:type="dxa"/>
            <w:tcBorders>
              <w:top w:val="single" w:color="000000" w:sz="3"/>
              <w:left w:val="single" w:color="000000" w:sz="3"/>
              <w:bottom w:val="single" w:color="000000" w:sz="3"/>
              <w:right w:val="single" w:color="000000" w:sz="3"/>
            </w:tcBorders>
            <w:vAlign w:val="top"/>
          </w:tcPr>
          <w:p>
            <w:pPr>
              <w:pStyle w:val="16"/>
              <w:rPr>
                <w:rFonts w:ascii="Arial" w:hAnsi="Arial"/>
                <w:b w:val="0"/>
                <w:color w:val="000000"/>
                <w:sz w:val="22"/>
              </w:rPr>
              <w:widowControl w:val="off"/>
              <w:jc w:val="left"/>
            </w:pPr>
            <w:r>
              <w:rPr>
                <w:rFonts w:ascii="Arial" w:hAnsi="Arial"/>
                <w:b w:val="0"/>
                <w:color w:val="000000"/>
                <w:sz w:val="22"/>
              </w:rPr>
              <w:t>대사 및 영양</w:t>
            </w:r>
          </w:p>
        </w:tc>
        <w:tc>
          <w:tcPr>
            <w:tcW w:w="3216" w:type="dxa"/>
            <w:tcBorders>
              <w:top w:val="single" w:color="000000" w:sz="3"/>
              <w:left w:val="single" w:color="000000" w:sz="3"/>
              <w:bottom w:val="single" w:color="000000" w:sz="3"/>
              <w:right w:val="single" w:color="000000" w:sz="3"/>
            </w:tcBorders>
            <w:vAlign w:val="top"/>
          </w:tcPr>
          <w:p>
            <w:pPr>
              <w:pStyle w:val="15"/>
              <w:rPr>
                <w:rFonts w:ascii="바탕" w:hAnsi="바탕"/>
                <w:color w:val="000000"/>
                <w:sz w:val="22"/>
              </w:rPr>
              <w:widowControl w:val="off"/>
            </w:pPr>
            <w:r>
              <w:rPr>
                <w:color w:val="000000"/>
                <w:sz w:val="22"/>
              </w:rPr>
              <w:t>식욕부진</w:t>
            </w:r>
          </w:p>
        </w:tc>
        <w:tc>
          <w:tcPr>
            <w:tcW w:w="4273" w:type="dxa"/>
            <w:tcBorders>
              <w:top w:val="single" w:color="000000" w:sz="3"/>
              <w:left w:val="single" w:color="000000" w:sz="3"/>
              <w:bottom w:val="single" w:color="000000" w:sz="3"/>
              <w:right w:val="single" w:color="000000" w:sz="3"/>
            </w:tcBorders>
            <w:vAlign w:val="top"/>
          </w:tcPr>
          <w:p>
            <w:pPr>
              <w:pStyle w:val="15"/>
              <w:rPr>
                <w:rFonts w:ascii="Arial" w:hAnsi="Arial"/>
                <w:color w:val="000000"/>
                <w:sz w:val="22"/>
              </w:rPr>
              <w:widowControl w:val="off"/>
            </w:pPr>
          </w:p>
        </w:tc>
      </w:tr>
    </w:tbl>
    <w:p>
      <w:pPr>
        <w:pStyle w:val="14"/>
        <w:rPr>
          <w:rFonts w:ascii="Arial" w:hAnsi="Arial" w:eastAsia="바탕"/>
          <w:color w:val="000000"/>
          <w:sz w:val="22"/>
        </w:rPr>
        <w:widowControl w:val="off"/>
        <w:spacing w:line="360" w:lineRule="auto"/>
      </w:pPr>
    </w:p>
    <w:p>
      <w:pPr>
        <w:pStyle w:val="14"/>
        <w:rPr>
          <w:rFonts w:ascii="Arial" w:hAnsi="Arial" w:eastAsia="바탕"/>
          <w:color w:val="000000"/>
          <w:sz w:val="22"/>
        </w:rPr>
        <w:widowControl w:val="off"/>
        <w:spacing w:line="360" w:lineRule="auto"/>
      </w:pPr>
    </w:p>
    <w:p>
      <w:pPr>
        <w:pStyle w:val="14"/>
        <w:rPr>
          <w:rFonts w:ascii="Arial" w:hAnsi="Arial" w:eastAsia="바탕"/>
          <w:color w:val="000000"/>
          <w:sz w:val="22"/>
        </w:rPr>
        <w:widowControl w:val="off"/>
        <w:spacing w:line="360" w:lineRule="auto"/>
      </w:pPr>
      <w:r>
        <w:rPr>
          <w:rFonts w:ascii="Arial" w:hAnsi="Arial" w:eastAsia="바탕"/>
          <w:color w:val="000000"/>
          <w:sz w:val="22"/>
        </w:rPr>
        <w:t>생후 6주 이상부터 만 5세의 영아 및 어린이에서 보고된 다른 약물</w:t>
      </w:r>
      <w:r>
        <w:rPr>
          <w:rFonts w:eastAsia="바탕"/>
          <w:color w:val="000000"/>
          <w:sz w:val="22"/>
        </w:rPr>
        <w:t>이상</w:t>
      </w:r>
      <w:r>
        <w:rPr>
          <w:rFonts w:ascii="Arial" w:hAnsi="Arial" w:eastAsia="바탕"/>
          <w:color w:val="000000"/>
          <w:sz w:val="22"/>
        </w:rPr>
        <w:t>반응 또한 이 연령군에서 나타날 수 있으나, 이 연령군을 대상으로 한 임상시험</w:t>
      </w:r>
      <w:r>
        <w:rPr>
          <w:rFonts w:ascii="Arial" w:hAnsi="Arial"/>
          <w:color w:val="000000"/>
          <w:sz w:val="22"/>
        </w:rPr>
        <w:t>(6096A1-3011)</w:t>
      </w:r>
      <w:r>
        <w:rPr>
          <w:rFonts w:ascii="Arial" w:hAnsi="Arial" w:eastAsia="바탕"/>
          <w:color w:val="000000"/>
          <w:sz w:val="22"/>
        </w:rPr>
        <w:t>에서는 적은 피험자수로 인해 보고되지 않았다.</w:t>
      </w:r>
    </w:p>
    <w:p>
      <w:pPr>
        <w:pStyle w:val="14"/>
        <w:rPr>
          <w:rFonts w:ascii="Arial" w:hAnsi="Arial"/>
          <w:color w:val="000000"/>
          <w:sz w:val="22"/>
        </w:rPr>
        <w:widowControl w:val="off"/>
        <w:jc w:val="left"/>
      </w:pPr>
    </w:p>
    <w:p>
      <w:pPr>
        <w:pStyle w:val="14"/>
        <w:rPr>
          <w:rFonts w:ascii="Arial" w:hAnsi="Arial"/>
          <w:color w:val="000000"/>
          <w:sz w:val="22"/>
        </w:rPr>
        <w:widowControl w:val="off"/>
      </w:pPr>
      <w:r>
        <w:rPr>
          <w:color w:val="000000"/>
          <w:sz w:val="22"/>
        </w:rPr>
        <w:t>특수</w:t>
      </w:r>
      <w:r>
        <w:rPr>
          <w:color w:val="000000"/>
          <w:sz w:val="22"/>
        </w:rPr>
        <w:t xml:space="preserve"> </w:t>
      </w:r>
      <w:r>
        <w:rPr>
          <w:color w:val="000000"/>
          <w:sz w:val="22"/>
        </w:rPr>
        <w:t>환자</w:t>
      </w:r>
      <w:r>
        <w:rPr>
          <w:color w:val="000000"/>
          <w:sz w:val="22"/>
        </w:rPr>
        <w:t xml:space="preserve"> </w:t>
      </w:r>
      <w:r>
        <w:rPr>
          <w:color w:val="000000"/>
          <w:sz w:val="22"/>
        </w:rPr>
        <w:t>집단에</w:t>
      </w:r>
      <w:r>
        <w:rPr>
          <w:color w:val="000000"/>
          <w:sz w:val="22"/>
        </w:rPr>
        <w:t xml:space="preserve"> </w:t>
      </w:r>
      <w:r>
        <w:rPr>
          <w:color w:val="000000"/>
          <w:sz w:val="22"/>
        </w:rPr>
        <w:t>대한</w:t>
      </w:r>
      <w:r>
        <w:rPr>
          <w:color w:val="000000"/>
          <w:sz w:val="22"/>
        </w:rPr>
        <w:t xml:space="preserve"> </w:t>
      </w:r>
      <w:r>
        <w:rPr>
          <w:color w:val="000000"/>
          <w:sz w:val="22"/>
        </w:rPr>
        <w:t>추가정보</w:t>
      </w:r>
    </w:p>
    <w:p>
      <w:pPr>
        <w:pStyle w:val="14"/>
        <w:rPr>
          <w:rFonts w:ascii="Arial" w:hAnsi="Arial"/>
          <w:color w:val="000000"/>
          <w:sz w:val="22"/>
        </w:rPr>
        <w:widowControl w:val="off"/>
      </w:pPr>
      <w:r>
        <w:rPr>
          <w:rFonts w:ascii="Arial" w:hAnsi="Arial"/>
          <w:color w:val="000000"/>
          <w:sz w:val="22"/>
        </w:rPr>
        <w:t xml:space="preserve">겸상적혈구 </w:t>
      </w:r>
      <w:r>
        <w:rPr>
          <w:rFonts w:ascii="Arial" w:hAnsi="Arial"/>
          <w:color w:val="000000"/>
          <w:sz w:val="22"/>
        </w:rPr>
        <w:t xml:space="preserve">질환, HIV 감염 또는 조혈모세포이식이 </w:t>
      </w:r>
      <w:r>
        <w:rPr>
          <w:rFonts w:ascii="Arial" w:hAnsi="Arial"/>
          <w:color w:val="000000"/>
          <w:sz w:val="22"/>
        </w:rPr>
        <w:t>있는 소아와 청소년은 유사한 약물</w:t>
      </w:r>
      <w:r>
        <w:rPr>
          <w:color w:val="000000"/>
          <w:sz w:val="22"/>
        </w:rPr>
        <w:t>이상</w:t>
      </w:r>
      <w:r>
        <w:rPr>
          <w:rFonts w:ascii="Arial" w:hAnsi="Arial"/>
          <w:color w:val="000000"/>
          <w:sz w:val="22"/>
        </w:rPr>
        <w:t>반응 빈도를 보였지만, 예외적으로 두통, 구토, 설사, 발열, 피로, 관절통, 근육통은 매우 흔하게 나타났다.</w:t>
      </w:r>
    </w:p>
    <w:p>
      <w:pPr>
        <w:pStyle w:val="14"/>
        <w:rPr>
          <w:rFonts w:ascii="Arial" w:hAnsi="Arial"/>
          <w:color w:val="000000"/>
          <w:sz w:val="22"/>
        </w:rPr>
        <w:widowControl w:val="off"/>
      </w:pPr>
    </w:p>
    <w:p>
      <w:pPr>
        <w:pStyle w:val="14"/>
        <w:rPr>
          <w:rFonts w:ascii="Arial" w:hAnsi="Arial" w:eastAsia="바탕"/>
          <w:b/>
          <w:color w:val="000000"/>
          <w:sz w:val="22"/>
        </w:rPr>
        <w:widowControl w:val="off"/>
      </w:pPr>
      <w:r>
        <w:rPr>
          <w:rFonts w:ascii="Arial" w:hAnsi="Arial"/>
          <w:b/>
          <w:color w:val="0000ff"/>
          <w:sz w:val="22"/>
          <w:u w:val="single" w:color="0000ff"/>
        </w:rPr>
        <w:t>(3)</w:t>
      </w:r>
      <w:r>
        <w:rPr>
          <w:rFonts w:ascii="Arial" w:hAnsi="Arial"/>
          <w:b/>
          <w:color w:val="000000"/>
          <w:sz w:val="22"/>
        </w:rPr>
        <w:t xml:space="preserve"> </w:t>
      </w:r>
      <w:r>
        <w:rPr>
          <w:rFonts w:ascii="Arial" w:hAnsi="Arial"/>
          <w:b/>
          <w:color w:val="000000"/>
          <w:sz w:val="22"/>
        </w:rPr>
        <w:t>18</w:t>
      </w:r>
      <w:r>
        <w:rPr>
          <w:rFonts w:ascii="Arial" w:hAnsi="Arial" w:eastAsia="바탕"/>
          <w:b/>
          <w:color w:val="000000"/>
          <w:sz w:val="22"/>
        </w:rPr>
        <w:t>세 이상의 성인</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18~</w:t>
      </w:r>
      <w:r>
        <w:rPr>
          <w:rFonts w:ascii="Arial" w:hAnsi="Arial"/>
          <w:color w:val="000000"/>
          <w:sz w:val="22"/>
          <w:shd w:val="clear" w:color="000000" w:fill="ffffff"/>
        </w:rPr>
        <w:t>101</w:t>
      </w:r>
      <w:r>
        <w:rPr>
          <w:rFonts w:ascii="Arial" w:hAnsi="Arial"/>
          <w:color w:val="000000"/>
          <w:sz w:val="22"/>
          <w:shd w:val="clear" w:color="000000" w:fill="ffffff"/>
        </w:rPr>
        <w:t xml:space="preserve">세의 </w:t>
      </w:r>
      <w:r>
        <w:rPr>
          <w:rFonts w:ascii="Arial" w:hAnsi="Arial"/>
          <w:color w:val="000000"/>
          <w:sz w:val="22"/>
          <w:shd w:val="clear" w:color="000000" w:fill="ffffff"/>
        </w:rPr>
        <w:t>91,593</w:t>
      </w:r>
      <w:r>
        <w:rPr>
          <w:rFonts w:ascii="Arial" w:hAnsi="Arial"/>
          <w:color w:val="000000"/>
          <w:sz w:val="22"/>
          <w:shd w:val="clear" w:color="000000" w:fill="ffffff"/>
        </w:rPr>
        <w:t xml:space="preserve">명의 성인을 대상으로 한 </w:t>
      </w:r>
      <w:r>
        <w:rPr>
          <w:rFonts w:ascii="Arial" w:hAnsi="Arial"/>
          <w:color w:val="000000"/>
          <w:sz w:val="22"/>
          <w:shd w:val="clear" w:color="000000" w:fill="ffffff"/>
        </w:rPr>
        <w:t>7</w:t>
      </w:r>
      <w:r>
        <w:rPr>
          <w:rFonts w:ascii="Arial" w:hAnsi="Arial"/>
          <w:color w:val="000000"/>
          <w:sz w:val="22"/>
          <w:shd w:val="clear" w:color="000000" w:fill="ffffff"/>
        </w:rPr>
        <w:t xml:space="preserve">개의 임상시험에서 이 약의 안전성이 평가되었다. </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 xml:space="preserve">총 </w:t>
      </w:r>
      <w:r>
        <w:rPr>
          <w:rFonts w:ascii="Arial" w:hAnsi="Arial"/>
          <w:color w:val="000000"/>
          <w:sz w:val="22"/>
          <w:shd w:val="clear" w:color="000000" w:fill="ffffff"/>
        </w:rPr>
        <w:t>48,806</w:t>
      </w:r>
      <w:r>
        <w:rPr>
          <w:rFonts w:ascii="Arial" w:hAnsi="Arial"/>
          <w:color w:val="000000"/>
          <w:sz w:val="22"/>
          <w:shd w:val="clear" w:color="000000" w:fill="ffffff"/>
        </w:rPr>
        <w:t>명의 성인에게 이 약이 투여되었으며 그 중 50~64세는 2,616명 (</w:t>
      </w:r>
      <w:r>
        <w:rPr>
          <w:rFonts w:ascii="Arial" w:hAnsi="Arial"/>
          <w:color w:val="000000"/>
          <w:sz w:val="22"/>
          <w:shd w:val="clear" w:color="000000" w:fill="ffffff"/>
        </w:rPr>
        <w:t>5.4</w:t>
      </w:r>
      <w:r>
        <w:rPr>
          <w:rFonts w:ascii="Arial" w:hAnsi="Arial"/>
          <w:color w:val="000000"/>
          <w:sz w:val="22"/>
          <w:shd w:val="clear" w:color="000000" w:fill="ffffff"/>
        </w:rPr>
        <w:t xml:space="preserve">%), 65세 이상은 </w:t>
      </w:r>
      <w:r>
        <w:rPr>
          <w:rFonts w:ascii="Arial" w:hAnsi="Arial"/>
          <w:color w:val="000000"/>
          <w:sz w:val="22"/>
          <w:shd w:val="clear" w:color="000000" w:fill="ffffff"/>
        </w:rPr>
        <w:t>45,291</w:t>
      </w:r>
      <w:r>
        <w:rPr>
          <w:rFonts w:ascii="Arial" w:hAnsi="Arial"/>
          <w:color w:val="000000"/>
          <w:sz w:val="22"/>
          <w:shd w:val="clear" w:color="000000" w:fill="ffffff"/>
        </w:rPr>
        <w:t>명 (</w:t>
      </w:r>
      <w:r>
        <w:rPr>
          <w:rFonts w:ascii="Arial" w:hAnsi="Arial"/>
          <w:color w:val="000000"/>
          <w:sz w:val="22"/>
          <w:shd w:val="clear" w:color="000000" w:fill="ffffff"/>
        </w:rPr>
        <w:t>92.8%</w:t>
      </w:r>
      <w:r>
        <w:rPr>
          <w:rFonts w:ascii="Arial" w:hAnsi="Arial"/>
          <w:color w:val="000000"/>
          <w:sz w:val="22"/>
          <w:shd w:val="clear" w:color="000000" w:fill="ffffff"/>
        </w:rPr>
        <w:t xml:space="preserve">)이었다. </w:t>
      </w:r>
      <w:r>
        <w:rPr>
          <w:rFonts w:ascii="Arial" w:hAnsi="Arial"/>
          <w:color w:val="000000"/>
          <w:sz w:val="22"/>
          <w:shd w:val="clear" w:color="000000" w:fill="ffffff"/>
        </w:rPr>
        <w:t>7</w:t>
      </w:r>
      <w:r>
        <w:rPr>
          <w:rFonts w:ascii="Arial" w:hAnsi="Arial"/>
          <w:color w:val="000000"/>
          <w:sz w:val="22"/>
          <w:shd w:val="clear" w:color="000000" w:fill="ffffff"/>
        </w:rPr>
        <w:t xml:space="preserve">개 임상시험 중 1개 임상시험에서는 이전에 23가 폐렴구균 폴리사카라이드 백신을 투여 받은 적이 없으나, 이 약을 투여받은 18-49세 성인군(899명)을 포함한다. </w:t>
      </w:r>
      <w:r>
        <w:rPr>
          <w:rFonts w:ascii="Arial" w:hAnsi="Arial"/>
          <w:color w:val="000000"/>
          <w:sz w:val="22"/>
          <w:shd w:val="clear" w:color="000000" w:fill="ffffff"/>
        </w:rPr>
        <w:t>이 중 최근 이 약 투여 전 3년 이내에 23가 폐렴구균 폴리사카라이드 백신을 투여받은 사람은 1,916명이었으며 46,890명은 이전에 23가 폐렴구균 폴리사카라이드 백신을 투여받은 적이 없었다</w:t>
      </w:r>
    </w:p>
    <w:p>
      <w:pPr>
        <w:pStyle w:val="14"/>
        <w:rPr>
          <w:rFonts w:ascii="Arial" w:hAnsi="Arial" w:eastAsia="바탕"/>
          <w:color w:val="000000"/>
          <w:sz w:val="22"/>
        </w:rPr>
        <w:widowControl w:val="off"/>
      </w:pPr>
      <w:r>
        <w:rPr>
          <w:rFonts w:ascii="Arial" w:hAnsi="Arial" w:eastAsia="바탕"/>
          <w:color w:val="000000"/>
          <w:sz w:val="22"/>
        </w:rPr>
        <w:t>연령이 높을수록 약물</w:t>
      </w:r>
      <w:r>
        <w:rPr>
          <w:rFonts w:eastAsia="바탕"/>
          <w:color w:val="000000"/>
          <w:sz w:val="22"/>
        </w:rPr>
        <w:t>이상</w:t>
      </w:r>
      <w:r>
        <w:rPr>
          <w:rFonts w:ascii="Arial" w:hAnsi="Arial" w:eastAsia="바탕"/>
          <w:color w:val="000000"/>
          <w:sz w:val="22"/>
        </w:rPr>
        <w:t>반응의 빈도가 낮은 경향이 있었는데, 젊은 성인에 비해 65세 초과의 성인 (이전 폐렴구균 백신 투여 여부와 상관 없이)에서 이상반응이 더 적게 보고되었고 일반적으로 18-29세 성인에서 약물</w:t>
      </w:r>
      <w:r>
        <w:rPr>
          <w:rFonts w:eastAsia="바탕"/>
          <w:color w:val="000000"/>
          <w:sz w:val="22"/>
        </w:rPr>
        <w:t>이상</w:t>
      </w:r>
      <w:r>
        <w:rPr>
          <w:rFonts w:ascii="Arial" w:hAnsi="Arial" w:eastAsia="바탕"/>
          <w:color w:val="000000"/>
          <w:sz w:val="22"/>
        </w:rPr>
        <w:t>반응이 가장 흔하게 나타났다.</w:t>
      </w:r>
    </w:p>
    <w:p>
      <w:pPr>
        <w:pStyle w:val="14"/>
        <w:rPr>
          <w:rFonts w:ascii="Arial" w:hAnsi="Arial" w:eastAsia="바탕"/>
          <w:color w:val="000000"/>
        </w:rPr>
        <w:widowControl w:val="off"/>
      </w:pPr>
    </w:p>
    <w:p>
      <w:pPr>
        <w:pStyle w:val="14"/>
        <w:rPr>
          <w:rFonts w:ascii="Arial" w:hAnsi="Arial" w:eastAsia="바탕"/>
          <w:color w:val="000000"/>
          <w:sz w:val="22"/>
        </w:rPr>
        <w:widowControl w:val="off"/>
      </w:pPr>
      <w:r>
        <w:rPr>
          <w:rFonts w:ascii="Arial" w:hAnsi="Arial" w:eastAsia="바탕"/>
          <w:color w:val="000000"/>
          <w:sz w:val="22"/>
        </w:rPr>
        <w:t xml:space="preserve">전반적으로, 빈도는 모든 연령군에서 서로 유사하였으나, 예외적으로 구토는 18-49세 연령군에서 매우 흔하게 나타났고 (1/10 이상), </w:t>
      </w:r>
      <w:r>
        <w:rPr>
          <w:rFonts w:ascii="Arial" w:hAnsi="Arial" w:eastAsia="바탕"/>
          <w:color w:val="000000"/>
          <w:sz w:val="22"/>
        </w:rPr>
        <w:t xml:space="preserve">50세 초과의 </w:t>
      </w:r>
      <w:r>
        <w:rPr>
          <w:rFonts w:ascii="Arial" w:hAnsi="Arial" w:eastAsia="바탕"/>
          <w:color w:val="000000"/>
          <w:sz w:val="22"/>
        </w:rPr>
        <w:t>연령군에서는 흔하게 나타났으며(1/100 이상에서 1/10 미만), 발열은 18-29세 성인에서 매우 흔하게 나타났고, 모든 다른 연령군에서는 흔하게 나타났다. 중증의 접종부위 통증/압통 및 중증의 팔 운동 제한은 18-39세 성인에서 매우 흔하게 나타났으며, 모든 다른 연령군에서는 흔하게 나타났다.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color w:val="000000"/>
          <w:sz w:val="22"/>
        </w:rPr>
        <w:t>○</w:t>
      </w:r>
      <w:r>
        <w:rPr>
          <w:rFonts w:ascii="Arial" w:hAnsi="Arial"/>
          <w:color w:val="000000"/>
          <w:sz w:val="22"/>
        </w:rPr>
        <w:t xml:space="preserve"> </w:t>
      </w:r>
      <w:r>
        <w:rPr>
          <w:rFonts w:ascii="Arial" w:hAnsi="Arial" w:eastAsia="바탕"/>
          <w:color w:val="000000"/>
          <w:sz w:val="22"/>
        </w:rPr>
        <w:t>임상시험 시 보고된 약물</w:t>
      </w:r>
      <w:r>
        <w:rPr>
          <w:rFonts w:eastAsia="바탕"/>
          <w:color w:val="000000"/>
          <w:sz w:val="22"/>
        </w:rPr>
        <w:t>이상</w:t>
      </w:r>
      <w:r>
        <w:rPr>
          <w:rFonts w:eastAsia="바탕"/>
          <w:color w:val="000000"/>
          <w:sz w:val="22"/>
        </w:rPr>
        <w:t>반응</w:t>
      </w:r>
    </w:p>
    <w:p>
      <w:pPr>
        <w:pStyle w:val="14"/>
        <w:rPr>
          <w:rFonts w:ascii="Arial" w:hAnsi="Arial" w:eastAsia="바탕"/>
          <w:color w:val="000000"/>
          <w:sz w:val="22"/>
        </w:rPr>
        <w:widowControl w:val="off"/>
      </w:pPr>
      <w:r>
        <w:rPr>
          <w:rFonts w:ascii="Arial" w:hAnsi="Arial" w:eastAsia="바탕"/>
          <w:color w:val="000000"/>
          <w:sz w:val="22"/>
        </w:rPr>
        <w:t>6건의 임상시험에서 매 백신 접종 후 14일 동안, 나머지 시험에서는 7일 동안 매일 국소반응 및 전신반응을 수집하였다. 다음의 약물</w:t>
      </w:r>
      <w:r>
        <w:rPr>
          <w:rFonts w:eastAsia="바탕"/>
          <w:color w:val="000000"/>
          <w:sz w:val="22"/>
        </w:rPr>
        <w:t>이상</w:t>
      </w:r>
      <w:r>
        <w:rPr>
          <w:rFonts w:ascii="Arial" w:hAnsi="Arial" w:eastAsia="바탕"/>
          <w:color w:val="000000"/>
          <w:sz w:val="22"/>
        </w:rPr>
        <w:t>반응 빈도는 이 약의 성인에 대한 임상시험에 기초하였다:</w:t>
      </w:r>
    </w:p>
    <w:tbl>
      <w:tblPr>
        <w:tblOverlap w:val="never"/>
        <w:tblW w:w="9544"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tr>
        <w:trPr>
          <w:trHeight w:val="669"/>
        </w:trPr>
        <w:tc>
          <w:tcPr>
            <w:tcW w:w="1216" w:type="dxa"/>
            <w:tcBorders>
              <w:top w:val="single" w:color="000000" w:sz="6"/>
              <w:left w:val="single" w:color="000000" w:sz="3"/>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eastAsia="한양신명조"/>
                <w:color w:val="000000"/>
                <w:sz w:val="22"/>
              </w:rPr>
              <w:t>기관계</w:t>
            </w:r>
          </w:p>
        </w:tc>
        <w:tc>
          <w:tcPr>
            <w:tcW w:w="4178"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매우 흔하게</w:t>
            </w:r>
          </w:p>
          <w:p>
            <w:pPr>
              <w:pStyle w:val="0"/>
              <w:rPr>
                <w:rFonts w:ascii="한양신명조" w:hAnsi="한양신명조" w:eastAsia="한양신명조"/>
                <w:color w:val="000000"/>
                <w:sz w:val="22"/>
                <w:shd w:val="clear" w:color="000000" w:fill="ffffff"/>
              </w:rPr>
              <w:widowControl w:val="off"/>
            </w:pPr>
            <w:r>
              <w:rPr>
                <w:rFonts w:ascii="한양신명조" w:hAnsi="한양신명조"/>
                <w:color w:val="000000"/>
                <w:sz w:val="22"/>
                <w:shd w:val="clear" w:color="000000" w:fill="ffffff"/>
              </w:rPr>
              <w:t>≥</w:t>
            </w:r>
            <w:r>
              <w:rPr>
                <w:rFonts w:ascii="한양신명조" w:hAnsi="한양신명조"/>
                <w:color w:val="000000"/>
                <w:sz w:val="22"/>
                <w:shd w:val="clear" w:color="000000" w:fill="ffffff"/>
              </w:rPr>
              <w:t xml:space="preserve"> 1/10</w:t>
            </w:r>
          </w:p>
        </w:tc>
        <w:tc>
          <w:tcPr>
            <w:tcW w:w="2009"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eastAsia="한양신명조"/>
                <w:color w:val="000000"/>
                <w:sz w:val="22"/>
              </w:rPr>
              <w:t>흔하게</w:t>
            </w:r>
          </w:p>
          <w:p>
            <w:pPr>
              <w:pStyle w:val="0"/>
              <w:rPr>
                <w:rFonts w:ascii="한양신명조" w:hAnsi="한양신명조" w:eastAsia="한양신명조"/>
                <w:color w:val="000000"/>
                <w:sz w:val="22"/>
                <w:shd w:val="clear" w:color="000000" w:fill="ffffff"/>
              </w:rPr>
              <w:widowControl w:val="off"/>
            </w:pPr>
            <w:r>
              <w:rPr>
                <w:rFonts w:ascii="한양신명조" w:hAnsi="한양신명조"/>
                <w:color w:val="000000"/>
                <w:sz w:val="22"/>
                <w:shd w:val="clear" w:color="000000" w:fill="ffffff"/>
              </w:rPr>
              <w:t>≥</w:t>
            </w:r>
            <w:r>
              <w:rPr>
                <w:rFonts w:ascii="한양신명조" w:hAnsi="한양신명조"/>
                <w:color w:val="000000"/>
                <w:sz w:val="22"/>
                <w:shd w:val="clear" w:color="000000" w:fill="ffffff"/>
              </w:rPr>
              <w:t xml:space="preserve"> 1/100, &lt; 1/10</w:t>
            </w:r>
          </w:p>
        </w:tc>
        <w:tc>
          <w:tcPr>
            <w:tcW w:w="2141" w:type="dxa"/>
            <w:tcBorders>
              <w:top w:val="single" w:color="000000" w:sz="6"/>
              <w:left w:val="single" w:color="000000" w:sz="6"/>
              <w:bottom w:val="single" w:color="000000" w:sz="3"/>
              <w:right w:val="single" w:color="000000" w:sz="6"/>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흔하지 않게</w:t>
            </w:r>
          </w:p>
          <w:p>
            <w:pPr>
              <w:pStyle w:val="0"/>
              <w:rPr>
                <w:rFonts w:ascii="한양신명조" w:hAnsi="한양신명조" w:eastAsia="한양신명조"/>
                <w:color w:val="000000"/>
                <w:sz w:val="22"/>
                <w:shd w:val="clear" w:color="000000" w:fill="ffffff"/>
              </w:rPr>
              <w:widowControl w:val="off"/>
            </w:pPr>
            <w:r>
              <w:rPr>
                <w:rFonts w:ascii="한양신명조" w:hAnsi="한양신명조"/>
                <w:color w:val="000000"/>
                <w:sz w:val="22"/>
                <w:shd w:val="clear" w:color="000000" w:fill="ffffff"/>
              </w:rPr>
              <w:t>≥</w:t>
            </w:r>
            <w:r>
              <w:rPr>
                <w:rFonts w:ascii="한양신명조" w:hAnsi="한양신명조"/>
                <w:color w:val="000000"/>
                <w:sz w:val="22"/>
                <w:shd w:val="clear" w:color="000000" w:fill="ffffff"/>
              </w:rPr>
              <w:t xml:space="preserve"> 1/1000, &lt; 1/100</w:t>
            </w:r>
          </w:p>
        </w:tc>
      </w:tr>
      <w:tr>
        <w:trPr>
          <w:trHeight w:val="626"/>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eastAsia="한양신명조"/>
                <w:b w:val="0"/>
                <w:color w:val="000000"/>
                <w:sz w:val="22"/>
              </w:rPr>
              <w:t>신경계</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두통</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p>
        </w:tc>
      </w:tr>
      <w:tr>
        <w:trPr>
          <w:trHeight w:val="670"/>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eastAsia="한양신명조"/>
                <w:b w:val="0"/>
                <w:color w:val="000000"/>
                <w:sz w:val="22"/>
              </w:rPr>
              <w:t>위장관계</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설사</w:t>
            </w:r>
            <w:r>
              <w:rPr>
                <w:rFonts w:ascii="한양신명조" w:hAnsi="한양신명조" w:eastAsia="한양신명조"/>
                <w:color w:val="000000"/>
                <w:sz w:val="22"/>
              </w:rPr>
              <w:t>, 구토</w:t>
            </w:r>
            <w:r>
              <w:rPr>
                <w:rFonts w:ascii="한양신명조" w:hAnsi="한양신명조"/>
                <w:color w:val="000000"/>
                <w:sz w:val="22"/>
              </w:rPr>
              <w:t>(18-</w:t>
            </w:r>
            <w:r>
              <w:rPr>
                <w:rFonts w:ascii="한양신명조" w:hAnsi="한양신명조" w:eastAsia="한양신명조"/>
                <w:color w:val="000000"/>
                <w:sz w:val="22"/>
              </w:rPr>
              <w:t>49세의 성인</w:t>
            </w:r>
            <w:r>
              <w:rPr>
                <w:rFonts w:ascii="한양신명조" w:hAnsi="한양신명조"/>
                <w:color w:val="000000"/>
                <w:sz w:val="22"/>
              </w:rPr>
              <w:t>)</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구토</w:t>
            </w:r>
            <w:r>
              <w:rPr>
                <w:rFonts w:ascii="한양신명조" w:hAnsi="한양신명조" w:eastAsia="한양신명조"/>
                <w:color w:val="000000"/>
                <w:sz w:val="22"/>
              </w:rPr>
              <w:t>(50세 이상의 성인)</w:t>
            </w: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구역</w:t>
            </w:r>
          </w:p>
        </w:tc>
      </w:tr>
      <w:tr>
        <w:trPr>
          <w:trHeight w:val="628"/>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ascii="한양신명조" w:hAnsi="한양신명조" w:eastAsia="한양신명조"/>
                <w:b w:val="0"/>
                <w:color w:val="000000"/>
                <w:sz w:val="22"/>
              </w:rPr>
              <w:t>피부 및 피하조직</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발진</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r>
      <w:tr>
        <w:trPr>
          <w:trHeight w:val="980"/>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ascii="한양신명조" w:hAnsi="한양신명조" w:eastAsia="한양신명조"/>
                <w:b w:val="0"/>
                <w:color w:val="000000"/>
                <w:sz w:val="22"/>
              </w:rPr>
              <w:t>근골격계 및 결합조직</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새로운/악화된 전신</w:t>
            </w:r>
            <w:r>
              <w:rPr>
                <w:rFonts w:ascii="한양신명조" w:hAnsi="한양신명조" w:eastAsia="한양신명조"/>
                <w:color w:val="000000"/>
                <w:sz w:val="22"/>
              </w:rPr>
              <w:t xml:space="preserve"> 관절통, </w:t>
            </w:r>
            <w:r>
              <w:rPr>
                <w:rFonts w:ascii="한양신명조" w:hAnsi="한양신명조" w:eastAsia="한양신명조"/>
                <w:color w:val="000000"/>
                <w:sz w:val="22"/>
              </w:rPr>
              <w:t>새로운/악화된 전신</w:t>
            </w:r>
            <w:r>
              <w:rPr>
                <w:rFonts w:ascii="한양신명조" w:hAnsi="한양신명조" w:eastAsia="한양신명조"/>
                <w:color w:val="000000"/>
                <w:sz w:val="22"/>
              </w:rPr>
              <w:t xml:space="preserve"> 근육통</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r>
      <w:tr>
        <w:trPr>
          <w:trHeight w:val="2149"/>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ascii="한양신명조" w:hAnsi="한양신명조" w:eastAsia="한양신명조"/>
                <w:b w:val="0"/>
                <w:color w:val="000000"/>
                <w:sz w:val="22"/>
              </w:rPr>
              <w:t xml:space="preserve">전신 및 접종부위 </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오한, 피로, 접종부위 홍반, 접종부위   경화/종창, 접종부위 통증/압통(중증의 접종부위 통증/압통은 18세-39세의 성인에서 매우 흔하게 나타남), 팔 운동제한(중증의 팔 운동 제한은 18세-39세의 성인에서 매우 흔하게 나타남)</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발열</w:t>
            </w: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eastAsia="한양신명조"/>
                <w:color w:val="000000"/>
                <w:sz w:val="22"/>
              </w:rPr>
              <w:t>접종부위에   한정된 림프절병증</w:t>
            </w:r>
          </w:p>
        </w:tc>
      </w:tr>
      <w:tr>
        <w:trPr>
          <w:trHeight w:val="285"/>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eastAsia="한양신명조"/>
                <w:b w:val="0"/>
                <w:color w:val="000000"/>
                <w:sz w:val="22"/>
              </w:rPr>
              <w:t>면역계</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안면부종</w:t>
            </w:r>
            <w:r>
              <w:rPr>
                <w:rFonts w:ascii="한양신명조" w:hAnsi="한양신명조" w:eastAsia="한양신명조"/>
                <w:color w:val="000000"/>
                <w:sz w:val="22"/>
              </w:rPr>
              <w:t>, 호흡곤란, 기관지경련을 포함한 과민반응</w:t>
            </w:r>
          </w:p>
        </w:tc>
      </w:tr>
      <w:tr>
        <w:trPr>
          <w:trHeight w:val="343"/>
        </w:trPr>
        <w:tc>
          <w:tcPr>
            <w:tcW w:w="1216" w:type="dxa"/>
            <w:tcBorders>
              <w:top w:val="single" w:color="000000" w:sz="3"/>
              <w:left w:val="single" w:color="000000" w:sz="3"/>
              <w:bottom w:val="single" w:color="000000" w:sz="3"/>
              <w:right w:val="single" w:color="000000" w:sz="3"/>
            </w:tcBorders>
            <w:vAlign w:val="top"/>
          </w:tcPr>
          <w:p>
            <w:pPr>
              <w:pStyle w:val="16"/>
              <w:rPr>
                <w:rFonts w:ascii="한양신명조" w:hAnsi="한양신명조" w:eastAsia="한양신명조"/>
                <w:b w:val="0"/>
                <w:color w:val="000000"/>
                <w:sz w:val="22"/>
              </w:rPr>
              <w:widowControl w:val="off"/>
              <w:jc w:val="left"/>
            </w:pPr>
            <w:r>
              <w:rPr>
                <w:rFonts w:ascii="한양신명조" w:hAnsi="한양신명조" w:eastAsia="한양신명조"/>
                <w:b w:val="0"/>
                <w:color w:val="000000"/>
                <w:sz w:val="22"/>
              </w:rPr>
              <w:t>대사 및 영양</w:t>
            </w:r>
          </w:p>
        </w:tc>
        <w:tc>
          <w:tcPr>
            <w:tcW w:w="4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eastAsia="한양신명조"/>
                <w:color w:val="000000"/>
                <w:sz w:val="22"/>
              </w:rPr>
              <w:t>식욕감퇴</w:t>
            </w:r>
          </w:p>
        </w:tc>
        <w:tc>
          <w:tcPr>
            <w:tcW w:w="2009"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c>
          <w:tcPr>
            <w:tcW w:w="214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rPr>
              <w:widowControl w:val="off"/>
            </w:pPr>
            <w:r>
              <w:rPr>
                <w:rFonts w:ascii="한양신명조" w:hAnsi="한양신명조"/>
                <w:color w:val="000000"/>
                <w:sz w:val="22"/>
              </w:rPr>
              <w:t xml:space="preserve"> </w:t>
            </w:r>
          </w:p>
        </w:tc>
      </w:tr>
    </w:tbl>
    <w:p>
      <w:pPr>
        <w:pStyle w:val="14"/>
        <w:rPr>
          <w:rFonts w:ascii="Arial" w:hAnsi="Arial" w:eastAsia="바탕"/>
          <w:color w:val="000000"/>
          <w:sz w:val="22"/>
        </w:rPr>
        <w:widowControl w:val="off"/>
      </w:pP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rFonts w:ascii="Arial" w:hAnsi="Arial" w:eastAsia="바탕"/>
          <w:color w:val="000000"/>
          <w:sz w:val="22"/>
        </w:rPr>
        <w:t>전반적으로, 이전에 폐렴구균 폴리사카라이드 백신을 투여받은 성인에게 이 약 투여 시 보여진 약물</w:t>
      </w:r>
      <w:r>
        <w:rPr>
          <w:rFonts w:eastAsia="바탕"/>
          <w:color w:val="000000"/>
          <w:sz w:val="22"/>
        </w:rPr>
        <w:t>이상</w:t>
      </w:r>
      <w:r>
        <w:rPr>
          <w:rFonts w:ascii="Arial" w:hAnsi="Arial" w:eastAsia="바탕"/>
          <w:color w:val="000000"/>
          <w:sz w:val="22"/>
        </w:rPr>
        <w:t>반응의 빈도는 유의하게 다르지 않았다.</w:t>
      </w:r>
    </w:p>
    <w:p>
      <w:pPr>
        <w:pStyle w:val="14"/>
        <w:rPr>
          <w:rFonts w:ascii="Arial" w:hAnsi="Arial"/>
          <w:color w:val="000000"/>
          <w:sz w:val="22"/>
        </w:rPr>
        <w:widowControl w:val="off"/>
      </w:pPr>
    </w:p>
    <w:p>
      <w:pPr>
        <w:pStyle w:val="14"/>
        <w:rPr>
          <w:rFonts w:ascii="Arial" w:hAnsi="Arial" w:eastAsia="바탕"/>
          <w:color w:val="000000"/>
          <w:sz w:val="22"/>
        </w:rPr>
        <w:widowControl w:val="off"/>
      </w:pPr>
      <w:r>
        <w:rPr>
          <w:color w:val="000000"/>
          <w:sz w:val="22"/>
        </w:rPr>
        <w:t>특수</w:t>
      </w:r>
      <w:r>
        <w:rPr>
          <w:color w:val="000000"/>
          <w:sz w:val="22"/>
        </w:rPr>
        <w:t xml:space="preserve"> </w:t>
      </w:r>
      <w:r>
        <w:rPr>
          <w:color w:val="000000"/>
          <w:sz w:val="22"/>
        </w:rPr>
        <w:t>환자</w:t>
      </w:r>
      <w:r>
        <w:rPr>
          <w:color w:val="000000"/>
          <w:sz w:val="22"/>
        </w:rPr>
        <w:t xml:space="preserve"> </w:t>
      </w:r>
      <w:r>
        <w:rPr>
          <w:color w:val="000000"/>
          <w:sz w:val="22"/>
        </w:rPr>
        <w:t>집단에</w:t>
      </w:r>
      <w:r>
        <w:rPr>
          <w:color w:val="000000"/>
          <w:sz w:val="22"/>
        </w:rPr>
        <w:t xml:space="preserve"> </w:t>
      </w:r>
      <w:r>
        <w:rPr>
          <w:color w:val="000000"/>
          <w:sz w:val="22"/>
        </w:rPr>
        <w:t>대한</w:t>
      </w:r>
      <w:r>
        <w:rPr>
          <w:color w:val="000000"/>
          <w:sz w:val="22"/>
        </w:rPr>
        <w:t xml:space="preserve"> </w:t>
      </w:r>
      <w:r>
        <w:rPr>
          <w:color w:val="000000"/>
          <w:sz w:val="22"/>
        </w:rPr>
        <w:t>추가정보</w:t>
      </w:r>
    </w:p>
    <w:p>
      <w:pPr>
        <w:pStyle w:val="0"/>
        <w:rPr>
          <w:rFonts w:eastAsia="바탕체"/>
          <w:color w:val="000000"/>
          <w:sz w:val="22"/>
          <w:shd w:val="clear" w:color="000000" w:fill="ffffff"/>
        </w:rPr>
        <w:widowControl w:val="off"/>
      </w:pPr>
      <w:r>
        <w:rPr>
          <w:color w:val="000000"/>
          <w:sz w:val="22"/>
          <w:shd w:val="clear" w:color="000000" w:fill="ffffff"/>
        </w:rPr>
        <w:t xml:space="preserve">HIV </w:t>
      </w:r>
      <w:r>
        <w:rPr>
          <w:rFonts w:eastAsia="바탕체"/>
          <w:color w:val="000000"/>
          <w:sz w:val="22"/>
          <w:shd w:val="clear" w:color="000000" w:fill="ffffff"/>
        </w:rPr>
        <w:t>감염</w:t>
      </w:r>
      <w:r>
        <w:rPr>
          <w:color w:val="000000"/>
          <w:sz w:val="22"/>
          <w:shd w:val="clear" w:color="000000" w:fill="ffffff"/>
        </w:rPr>
        <w:t xml:space="preserve"> </w:t>
      </w:r>
      <w:r>
        <w:rPr>
          <w:rFonts w:eastAsia="바탕체"/>
          <w:color w:val="000000"/>
          <w:sz w:val="22"/>
          <w:shd w:val="clear" w:color="000000" w:fill="ffffff"/>
        </w:rPr>
        <w:t>성인</w:t>
      </w:r>
      <w:r>
        <w:rPr>
          <w:color w:val="000000"/>
          <w:sz w:val="22"/>
          <w:shd w:val="clear" w:color="000000" w:fill="ffffff"/>
        </w:rPr>
        <w:t xml:space="preserve"> </w:t>
      </w:r>
      <w:r>
        <w:rPr>
          <w:rFonts w:eastAsia="바탕체"/>
          <w:color w:val="000000"/>
          <w:sz w:val="22"/>
          <w:shd w:val="clear" w:color="000000" w:fill="ffffff"/>
        </w:rPr>
        <w:t>환자는</w:t>
      </w:r>
      <w:r>
        <w:rPr>
          <w:color w:val="000000"/>
          <w:sz w:val="22"/>
          <w:shd w:val="clear" w:color="000000" w:fill="ffffff"/>
        </w:rPr>
        <w:t xml:space="preserve"> </w:t>
      </w:r>
      <w:r>
        <w:rPr>
          <w:rFonts w:eastAsia="바탕체"/>
          <w:color w:val="000000"/>
          <w:sz w:val="22"/>
          <w:shd w:val="clear" w:color="000000" w:fill="ffffff"/>
        </w:rPr>
        <w:t>유사한</w:t>
      </w:r>
      <w:r>
        <w:rPr>
          <w:color w:val="000000"/>
          <w:sz w:val="22"/>
          <w:shd w:val="clear" w:color="000000" w:fill="ffffff"/>
        </w:rPr>
        <w:t xml:space="preserve"> </w:t>
      </w:r>
      <w:r>
        <w:rPr>
          <w:rFonts w:eastAsia="바탕체"/>
          <w:color w:val="000000"/>
          <w:sz w:val="22"/>
          <w:shd w:val="clear" w:color="000000" w:fill="ffffff"/>
        </w:rPr>
        <w:t>약물</w:t>
      </w:r>
      <w:r>
        <w:rPr>
          <w:rFonts w:eastAsia="바탕체"/>
          <w:color w:val="000000"/>
          <w:sz w:val="22"/>
          <w:shd w:val="clear" w:color="000000" w:fill="ffffff"/>
        </w:rPr>
        <w:t>이상</w:t>
      </w:r>
      <w:r>
        <w:rPr>
          <w:rFonts w:eastAsia="바탕체"/>
          <w:color w:val="000000"/>
          <w:sz w:val="22"/>
          <w:shd w:val="clear" w:color="000000" w:fill="ffffff"/>
        </w:rPr>
        <w:t>반응</w:t>
      </w:r>
      <w:r>
        <w:rPr>
          <w:color w:val="000000"/>
          <w:sz w:val="22"/>
          <w:shd w:val="clear" w:color="000000" w:fill="ffffff"/>
        </w:rPr>
        <w:t xml:space="preserve"> </w:t>
      </w:r>
      <w:r>
        <w:rPr>
          <w:rFonts w:eastAsia="바탕체"/>
          <w:color w:val="000000"/>
          <w:sz w:val="22"/>
          <w:shd w:val="clear" w:color="000000" w:fill="ffffff"/>
        </w:rPr>
        <w:t>빈도를</w:t>
      </w:r>
      <w:r>
        <w:rPr>
          <w:color w:val="000000"/>
          <w:sz w:val="22"/>
          <w:shd w:val="clear" w:color="000000" w:fill="ffffff"/>
        </w:rPr>
        <w:t xml:space="preserve"> </w:t>
      </w:r>
      <w:r>
        <w:rPr>
          <w:rFonts w:eastAsia="바탕체"/>
          <w:color w:val="000000"/>
          <w:sz w:val="22"/>
          <w:shd w:val="clear" w:color="000000" w:fill="ffffff"/>
        </w:rPr>
        <w:t>보였다</w:t>
      </w:r>
      <w:r>
        <w:rPr>
          <w:color w:val="000000"/>
          <w:sz w:val="22"/>
          <w:shd w:val="clear" w:color="000000" w:fill="ffffff"/>
        </w:rPr>
        <w:t xml:space="preserve">. </w:t>
      </w:r>
      <w:r>
        <w:rPr>
          <w:rFonts w:eastAsia="바탕체"/>
          <w:color w:val="000000"/>
          <w:sz w:val="22"/>
          <w:shd w:val="clear" w:color="000000" w:fill="ffffff"/>
        </w:rPr>
        <w:t>예외적으로</w:t>
      </w:r>
      <w:r>
        <w:rPr>
          <w:color w:val="000000"/>
          <w:sz w:val="22"/>
          <w:shd w:val="clear" w:color="000000" w:fill="ffffff"/>
        </w:rPr>
        <w:t xml:space="preserve"> </w:t>
      </w:r>
      <w:r>
        <w:rPr>
          <w:rFonts w:eastAsia="바탕체"/>
          <w:color w:val="000000"/>
          <w:sz w:val="22"/>
          <w:shd w:val="clear" w:color="000000" w:fill="ffffff"/>
        </w:rPr>
        <w:t xml:space="preserve">발열, </w:t>
      </w:r>
      <w:r>
        <w:rPr>
          <w:rFonts w:eastAsia="바탕체"/>
          <w:color w:val="000000"/>
          <w:sz w:val="22"/>
          <w:shd w:val="clear" w:color="000000" w:fill="ffffff"/>
        </w:rPr>
        <w:t>구토</w:t>
      </w:r>
      <w:r>
        <w:rPr>
          <w:rFonts w:eastAsia="바탕체"/>
          <w:color w:val="000000"/>
          <w:sz w:val="22"/>
          <w:shd w:val="clear" w:color="000000" w:fill="ffffff"/>
        </w:rPr>
        <w:t>는</w:t>
      </w:r>
      <w:r>
        <w:rPr>
          <w:color w:val="000000"/>
          <w:sz w:val="22"/>
          <w:shd w:val="clear" w:color="000000" w:fill="ffffff"/>
        </w:rPr>
        <w:t xml:space="preserve"> </w:t>
      </w:r>
      <w:r>
        <w:rPr>
          <w:rFonts w:eastAsia="바탕체"/>
          <w:color w:val="000000"/>
          <w:sz w:val="22"/>
          <w:shd w:val="clear" w:color="000000" w:fill="ffffff"/>
        </w:rPr>
        <w:t>매우</w:t>
      </w:r>
      <w:r>
        <w:rPr>
          <w:color w:val="000000"/>
          <w:sz w:val="22"/>
          <w:shd w:val="clear" w:color="000000" w:fill="ffffff"/>
        </w:rPr>
        <w:t xml:space="preserve"> </w:t>
      </w:r>
      <w:r>
        <w:rPr>
          <w:rFonts w:eastAsia="바탕체"/>
          <w:color w:val="000000"/>
          <w:sz w:val="22"/>
          <w:shd w:val="clear" w:color="000000" w:fill="ffffff"/>
        </w:rPr>
        <w:t>흔하게</w:t>
      </w:r>
      <w:r>
        <w:rPr>
          <w:color w:val="000000"/>
          <w:sz w:val="22"/>
          <w:shd w:val="clear" w:color="000000" w:fill="ffffff"/>
        </w:rPr>
        <w:t xml:space="preserve">, </w:t>
      </w:r>
      <w:r>
        <w:rPr>
          <w:rFonts w:eastAsia="바탕체"/>
          <w:color w:val="000000"/>
          <w:sz w:val="22"/>
          <w:shd w:val="clear" w:color="000000" w:fill="ffffff"/>
        </w:rPr>
        <w:t>구역은</w:t>
      </w:r>
      <w:r>
        <w:rPr>
          <w:color w:val="000000"/>
          <w:sz w:val="22"/>
          <w:shd w:val="clear" w:color="000000" w:fill="ffffff"/>
        </w:rPr>
        <w:t xml:space="preserve"> </w:t>
      </w:r>
      <w:r>
        <w:rPr>
          <w:rFonts w:eastAsia="바탕체"/>
          <w:color w:val="000000"/>
          <w:sz w:val="22"/>
          <w:shd w:val="clear" w:color="000000" w:fill="ffffff"/>
        </w:rPr>
        <w:t>흔하게</w:t>
      </w:r>
      <w:r>
        <w:rPr>
          <w:color w:val="000000"/>
          <w:sz w:val="22"/>
          <w:shd w:val="clear" w:color="000000" w:fill="ffffff"/>
        </w:rPr>
        <w:t xml:space="preserve"> </w:t>
      </w:r>
      <w:r>
        <w:rPr>
          <w:rFonts w:eastAsia="바탕체"/>
          <w:color w:val="000000"/>
          <w:sz w:val="22"/>
          <w:shd w:val="clear" w:color="000000" w:fill="ffffff"/>
        </w:rPr>
        <w:t>나타났다</w:t>
      </w:r>
      <w:r>
        <w:rPr>
          <w:color w:val="000000"/>
          <w:sz w:val="22"/>
          <w:shd w:val="clear" w:color="000000" w:fill="ffffff"/>
        </w:rPr>
        <w:t>.</w:t>
      </w:r>
    </w:p>
    <w:p>
      <w:pPr>
        <w:pStyle w:val="14"/>
        <w:rPr>
          <w:rFonts w:ascii="Arial" w:hAnsi="Arial" w:eastAsia="바탕"/>
          <w:color w:val="000000"/>
          <w:sz w:val="22"/>
        </w:rPr>
        <w:widowControl w:val="off"/>
      </w:pPr>
      <w:r>
        <w:rPr>
          <w:rFonts w:ascii="Arial" w:hAnsi="Arial" w:eastAsia="바탕"/>
          <w:color w:val="000000"/>
          <w:sz w:val="22"/>
        </w:rPr>
        <w:t>조혈모세포이식 성인은 유사한 약물</w:t>
      </w:r>
      <w:r>
        <w:rPr>
          <w:color w:val="000000"/>
          <w:sz w:val="22"/>
        </w:rPr>
        <w:t>이상</w:t>
      </w:r>
      <w:r>
        <w:rPr>
          <w:rFonts w:ascii="Arial" w:hAnsi="Arial" w:eastAsia="바탕"/>
          <w:color w:val="000000"/>
          <w:sz w:val="22"/>
        </w:rPr>
        <w:t xml:space="preserve">반응 빈도를 보였다. 예외적으로 발열과 구토는 매우 흔하게 나타났다. </w:t>
      </w:r>
    </w:p>
    <w:p>
      <w:pPr>
        <w:pStyle w:val="14"/>
        <w:rPr>
          <w:rFonts w:ascii="Arial" w:hAnsi="Arial" w:eastAsia="바탕"/>
          <w:color w:val="000000"/>
          <w:sz w:val="22"/>
        </w:rPr>
        <w:widowControl w:val="off"/>
      </w:pPr>
    </w:p>
    <w:p>
      <w:pPr>
        <w:pStyle w:val="14"/>
        <w:rPr>
          <w:rFonts w:ascii="Arial" w:hAnsi="Arial" w:eastAsia="바탕"/>
          <w:color w:val="000000"/>
          <w:sz w:val="22"/>
        </w:rPr>
        <w:widowControl w:val="off"/>
      </w:pPr>
      <w:r>
        <w:rPr>
          <w:color w:val="000000"/>
          <w:sz w:val="22"/>
        </w:rPr>
        <w:t>○</w:t>
      </w:r>
      <w:r>
        <w:rPr>
          <w:rFonts w:ascii="Arial" w:hAnsi="Arial"/>
          <w:color w:val="000000"/>
          <w:sz w:val="22"/>
        </w:rPr>
        <w:t xml:space="preserve"> </w:t>
      </w:r>
      <w:r>
        <w:rPr>
          <w:rFonts w:ascii="Arial" w:hAnsi="Arial" w:eastAsia="바탕"/>
          <w:color w:val="000000"/>
          <w:sz w:val="22"/>
        </w:rPr>
        <w:t>이 약과 3가 비활성화 인플루엔자 백신을 병용투여한 성인에서 보고된 약물</w:t>
      </w:r>
      <w:r>
        <w:rPr>
          <w:rFonts w:eastAsia="바탕"/>
          <w:color w:val="000000"/>
          <w:sz w:val="22"/>
        </w:rPr>
        <w:t>이상</w:t>
      </w:r>
      <w:r>
        <w:rPr>
          <w:rFonts w:eastAsia="바탕"/>
          <w:color w:val="000000"/>
          <w:sz w:val="22"/>
        </w:rPr>
        <w:t>반응</w:t>
      </w:r>
    </w:p>
    <w:p>
      <w:pPr>
        <w:pStyle w:val="14"/>
        <w:rPr>
          <w:rFonts w:ascii="Arial" w:hAnsi="Arial" w:eastAsia="바탕"/>
          <w:color w:val="000000"/>
          <w:sz w:val="22"/>
        </w:rPr>
        <w:widowControl w:val="off"/>
      </w:pPr>
      <w:r>
        <w:rPr>
          <w:rFonts w:ascii="Arial" w:hAnsi="Arial"/>
          <w:color w:val="000000"/>
          <w:sz w:val="22"/>
        </w:rPr>
        <w:t>50-59</w:t>
      </w:r>
      <w:r>
        <w:rPr>
          <w:rFonts w:eastAsia="바탕"/>
          <w:color w:val="000000"/>
          <w:sz w:val="22"/>
        </w:rPr>
        <w:t>세</w:t>
      </w:r>
      <w:r>
        <w:rPr>
          <w:rFonts w:ascii="Arial" w:hAnsi="Arial"/>
          <w:color w:val="000000"/>
          <w:sz w:val="22"/>
        </w:rPr>
        <w:t xml:space="preserve"> </w:t>
      </w:r>
      <w:r>
        <w:rPr>
          <w:rFonts w:eastAsia="바탕"/>
          <w:color w:val="000000"/>
          <w:sz w:val="22"/>
        </w:rPr>
        <w:t>성인</w:t>
      </w:r>
      <w:r>
        <w:rPr>
          <w:rFonts w:ascii="Arial" w:hAnsi="Arial"/>
          <w:color w:val="000000"/>
          <w:sz w:val="22"/>
        </w:rPr>
        <w:t xml:space="preserve"> </w:t>
      </w:r>
      <w:r>
        <w:rPr>
          <w:rFonts w:eastAsia="바탕"/>
          <w:color w:val="000000"/>
          <w:sz w:val="22"/>
        </w:rPr>
        <w:t>및</w:t>
      </w:r>
      <w:r>
        <w:rPr>
          <w:rFonts w:ascii="Arial" w:hAnsi="Arial"/>
          <w:color w:val="000000"/>
          <w:sz w:val="22"/>
        </w:rPr>
        <w:t xml:space="preserve"> 65</w:t>
      </w:r>
      <w:r>
        <w:rPr>
          <w:rFonts w:eastAsia="바탕"/>
          <w:color w:val="000000"/>
          <w:sz w:val="22"/>
        </w:rPr>
        <w:t>세</w:t>
      </w:r>
      <w:r>
        <w:rPr>
          <w:rFonts w:ascii="Arial" w:hAnsi="Arial"/>
          <w:color w:val="000000"/>
          <w:sz w:val="22"/>
        </w:rPr>
        <w:t xml:space="preserve"> </w:t>
      </w:r>
      <w:r>
        <w:rPr>
          <w:rFonts w:eastAsia="바탕"/>
          <w:color w:val="000000"/>
          <w:sz w:val="22"/>
        </w:rPr>
        <w:t>이상</w:t>
      </w:r>
      <w:r>
        <w:rPr>
          <w:rFonts w:ascii="Arial" w:hAnsi="Arial"/>
          <w:color w:val="000000"/>
          <w:sz w:val="22"/>
        </w:rPr>
        <w:t xml:space="preserve"> </w:t>
      </w:r>
      <w:r>
        <w:rPr>
          <w:rFonts w:eastAsia="바탕"/>
          <w:color w:val="000000"/>
          <w:sz w:val="22"/>
        </w:rPr>
        <w:t>성인에서</w:t>
      </w:r>
      <w:r>
        <w:rPr>
          <w:rFonts w:ascii="Arial" w:hAnsi="Arial"/>
          <w:color w:val="000000"/>
          <w:sz w:val="22"/>
        </w:rPr>
        <w:t xml:space="preserve"> </w:t>
      </w:r>
      <w:r>
        <w:rPr>
          <w:rFonts w:eastAsia="바탕"/>
          <w:color w:val="000000"/>
          <w:sz w:val="22"/>
        </w:rPr>
        <w:t>이</w:t>
      </w:r>
      <w:r>
        <w:rPr>
          <w:rFonts w:ascii="Arial" w:hAnsi="Arial"/>
          <w:color w:val="000000"/>
          <w:sz w:val="22"/>
        </w:rPr>
        <w:t xml:space="preserve"> </w:t>
      </w:r>
      <w:r>
        <w:rPr>
          <w:rFonts w:eastAsia="바탕"/>
          <w:color w:val="000000"/>
          <w:sz w:val="22"/>
        </w:rPr>
        <w:t>약과</w:t>
      </w:r>
      <w:r>
        <w:rPr>
          <w:rFonts w:ascii="Arial" w:hAnsi="Arial"/>
          <w:color w:val="000000"/>
          <w:sz w:val="22"/>
        </w:rPr>
        <w:t xml:space="preserve"> 3</w:t>
      </w:r>
      <w:r>
        <w:rPr>
          <w:rFonts w:eastAsia="바탕"/>
          <w:color w:val="000000"/>
          <w:sz w:val="22"/>
        </w:rPr>
        <w:t>가</w:t>
      </w:r>
      <w:r>
        <w:rPr>
          <w:rFonts w:ascii="Arial" w:hAnsi="Arial"/>
          <w:color w:val="000000"/>
          <w:sz w:val="22"/>
        </w:rPr>
        <w:t xml:space="preserve"> </w:t>
      </w:r>
      <w:r>
        <w:rPr>
          <w:rFonts w:eastAsia="바탕"/>
          <w:color w:val="000000"/>
          <w:sz w:val="22"/>
        </w:rPr>
        <w:t>비활성화</w:t>
      </w:r>
      <w:r>
        <w:rPr>
          <w:rFonts w:ascii="Arial" w:hAnsi="Arial"/>
          <w:color w:val="000000"/>
          <w:sz w:val="22"/>
        </w:rPr>
        <w:t xml:space="preserve"> </w:t>
      </w:r>
      <w:r>
        <w:rPr>
          <w:rFonts w:eastAsia="바탕"/>
          <w:color w:val="000000"/>
          <w:sz w:val="22"/>
        </w:rPr>
        <w:t>인플루엔자</w:t>
      </w:r>
      <w:r>
        <w:rPr>
          <w:rFonts w:ascii="Arial" w:hAnsi="Arial"/>
          <w:color w:val="000000"/>
          <w:sz w:val="22"/>
        </w:rPr>
        <w:t xml:space="preserve"> </w:t>
      </w:r>
      <w:r>
        <w:rPr>
          <w:rFonts w:eastAsia="바탕"/>
          <w:color w:val="000000"/>
          <w:sz w:val="22"/>
        </w:rPr>
        <w:t>백신을</w:t>
      </w:r>
      <w:r>
        <w:rPr>
          <w:rFonts w:ascii="Arial" w:hAnsi="Arial"/>
          <w:color w:val="000000"/>
          <w:sz w:val="22"/>
        </w:rPr>
        <w:t xml:space="preserve"> </w:t>
      </w:r>
      <w:r>
        <w:rPr>
          <w:rFonts w:eastAsia="바탕"/>
          <w:color w:val="000000"/>
          <w:sz w:val="22"/>
        </w:rPr>
        <w:t>병용투여했을</w:t>
      </w:r>
      <w:r>
        <w:rPr>
          <w:rFonts w:ascii="Arial" w:hAnsi="Arial"/>
          <w:color w:val="000000"/>
          <w:sz w:val="22"/>
        </w:rPr>
        <w:t xml:space="preserve"> </w:t>
      </w:r>
      <w:r>
        <w:rPr>
          <w:rFonts w:eastAsia="바탕"/>
          <w:color w:val="000000"/>
          <w:sz w:val="22"/>
        </w:rPr>
        <w:t>때와</w:t>
      </w:r>
      <w:r>
        <w:rPr>
          <w:rFonts w:ascii="Arial" w:hAnsi="Arial"/>
          <w:color w:val="000000"/>
          <w:sz w:val="22"/>
        </w:rPr>
        <w:t xml:space="preserve"> </w:t>
      </w:r>
      <w:r>
        <w:rPr>
          <w:rFonts w:eastAsia="바탕"/>
          <w:color w:val="000000"/>
          <w:sz w:val="22"/>
        </w:rPr>
        <w:t>이</w:t>
      </w:r>
      <w:r>
        <w:rPr>
          <w:rFonts w:ascii="Arial" w:hAnsi="Arial"/>
          <w:color w:val="000000"/>
          <w:sz w:val="22"/>
        </w:rPr>
        <w:t xml:space="preserve"> </w:t>
      </w:r>
      <w:r>
        <w:rPr>
          <w:rFonts w:eastAsia="바탕"/>
          <w:color w:val="000000"/>
          <w:sz w:val="22"/>
        </w:rPr>
        <w:t>약만</w:t>
      </w:r>
      <w:r>
        <w:rPr>
          <w:rFonts w:ascii="Arial" w:hAnsi="Arial"/>
          <w:color w:val="000000"/>
          <w:sz w:val="22"/>
        </w:rPr>
        <w:t xml:space="preserve"> </w:t>
      </w:r>
      <w:r>
        <w:rPr>
          <w:rFonts w:eastAsia="바탕"/>
          <w:color w:val="000000"/>
          <w:sz w:val="22"/>
        </w:rPr>
        <w:t>투여했을</w:t>
      </w:r>
      <w:r>
        <w:rPr>
          <w:rFonts w:ascii="Arial" w:hAnsi="Arial"/>
          <w:color w:val="000000"/>
          <w:sz w:val="22"/>
        </w:rPr>
        <w:t xml:space="preserve"> </w:t>
      </w:r>
      <w:r>
        <w:rPr>
          <w:rFonts w:eastAsia="바탕"/>
          <w:color w:val="000000"/>
          <w:sz w:val="22"/>
        </w:rPr>
        <w:t>때의</w:t>
      </w:r>
      <w:r>
        <w:rPr>
          <w:rFonts w:ascii="Arial" w:hAnsi="Arial"/>
          <w:color w:val="000000"/>
          <w:sz w:val="22"/>
        </w:rPr>
        <w:t xml:space="preserve"> </w:t>
      </w:r>
      <w:r>
        <w:rPr>
          <w:rFonts w:eastAsia="바탕"/>
          <w:color w:val="000000"/>
          <w:sz w:val="22"/>
        </w:rPr>
        <w:t>국소반응</w:t>
      </w:r>
      <w:r>
        <w:rPr>
          <w:rFonts w:ascii="Arial" w:hAnsi="Arial"/>
          <w:color w:val="000000"/>
          <w:sz w:val="22"/>
        </w:rPr>
        <w:t xml:space="preserve"> </w:t>
      </w:r>
      <w:r>
        <w:rPr>
          <w:rFonts w:eastAsia="바탕"/>
          <w:color w:val="000000"/>
          <w:sz w:val="22"/>
        </w:rPr>
        <w:t>빈도에</w:t>
      </w:r>
      <w:r>
        <w:rPr>
          <w:rFonts w:ascii="Arial" w:hAnsi="Arial"/>
          <w:color w:val="000000"/>
          <w:sz w:val="22"/>
        </w:rPr>
        <w:t xml:space="preserve"> </w:t>
      </w:r>
      <w:r>
        <w:rPr>
          <w:rFonts w:eastAsia="바탕"/>
          <w:color w:val="000000"/>
          <w:sz w:val="22"/>
        </w:rPr>
        <w:t>차이는</w:t>
      </w:r>
      <w:r>
        <w:rPr>
          <w:rFonts w:ascii="Arial" w:hAnsi="Arial"/>
          <w:color w:val="000000"/>
          <w:sz w:val="22"/>
        </w:rPr>
        <w:t xml:space="preserve"> </w:t>
      </w:r>
      <w:r>
        <w:rPr>
          <w:rFonts w:eastAsia="바탕"/>
          <w:color w:val="000000"/>
          <w:sz w:val="22"/>
        </w:rPr>
        <w:t>없었다</w:t>
      </w:r>
      <w:r>
        <w:rPr>
          <w:rFonts w:ascii="Arial" w:hAnsi="Arial"/>
          <w:color w:val="000000"/>
          <w:sz w:val="22"/>
        </w:rPr>
        <w:t>.</w:t>
      </w:r>
    </w:p>
    <w:p>
      <w:pPr>
        <w:pStyle w:val="14"/>
        <w:rPr>
          <w:rFonts w:ascii="Arial" w:hAnsi="Arial" w:eastAsia="바탕"/>
          <w:color w:val="000000"/>
          <w:sz w:val="22"/>
        </w:rPr>
        <w:widowControl w:val="off"/>
      </w:pPr>
      <w:r>
        <w:rPr>
          <w:rFonts w:ascii="Arial" w:hAnsi="Arial" w:eastAsia="바탕"/>
          <w:color w:val="000000"/>
          <w:sz w:val="22"/>
        </w:rPr>
        <w:t>이 약과 3가 비활성화 인플루엔자 백신을 병용투여하였을 때, 3가 비활성화 인풀루엔자 백신 단독투여 시 보다 높게 나타난 약물</w:t>
      </w:r>
      <w:r>
        <w:rPr>
          <w:rFonts w:eastAsia="바탕"/>
          <w:color w:val="000000"/>
          <w:sz w:val="22"/>
        </w:rPr>
        <w:t>이상</w:t>
      </w:r>
      <w:r>
        <w:rPr>
          <w:rFonts w:ascii="Arial" w:hAnsi="Arial" w:eastAsia="바탕"/>
          <w:color w:val="000000"/>
          <w:sz w:val="22"/>
        </w:rPr>
        <w:t>반응은 두통, 오한, 발진, 식욕감퇴, 관절통, 근육통이었으며, 이 약 단독투여시 보다 높게 나타난 약물</w:t>
      </w:r>
      <w:r>
        <w:rPr>
          <w:rFonts w:eastAsia="바탕"/>
          <w:color w:val="000000"/>
          <w:sz w:val="22"/>
        </w:rPr>
        <w:t>이상</w:t>
      </w:r>
      <w:r>
        <w:rPr>
          <w:rFonts w:ascii="Arial" w:hAnsi="Arial" w:eastAsia="바탕"/>
          <w:color w:val="000000"/>
          <w:sz w:val="22"/>
        </w:rPr>
        <w:t>반응은 두통, 피로, 오한, 식욕감퇴, 관절통이었다.</w:t>
      </w:r>
    </w:p>
    <w:p>
      <w:pPr>
        <w:pStyle w:val="14"/>
        <w:rPr>
          <w:rFonts w:ascii="Arial" w:hAnsi="Arial" w:eastAsia="바탕"/>
          <w:color w:val="000000"/>
          <w:sz w:val="22"/>
        </w:rPr>
        <w:widowControl w:val="off"/>
      </w:pPr>
    </w:p>
    <w:p>
      <w:pPr>
        <w:pStyle w:val="14"/>
        <w:rPr>
          <w:rFonts w:ascii="Arial" w:hAnsi="Arial" w:eastAsia="바탕"/>
          <w:b/>
          <w:color w:val="000000"/>
          <w:sz w:val="22"/>
        </w:rPr>
        <w:widowControl w:val="off"/>
      </w:pPr>
      <w:r>
        <w:rPr>
          <w:rFonts w:ascii="Arial" w:hAnsi="Arial" w:eastAsia="바탕"/>
          <w:b/>
          <w:color w:val="000000"/>
          <w:sz w:val="22"/>
        </w:rPr>
        <w:t>2) 시판 후 보고된 약물</w:t>
      </w:r>
      <w:r>
        <w:rPr>
          <w:rFonts w:eastAsia="바탕"/>
          <w:b/>
          <w:color w:val="000000"/>
          <w:sz w:val="22"/>
        </w:rPr>
        <w:t>이상</w:t>
      </w:r>
      <w:r>
        <w:rPr>
          <w:rFonts w:eastAsia="바탕"/>
          <w:b/>
          <w:color w:val="000000"/>
          <w:sz w:val="22"/>
        </w:rPr>
        <w:t>반응</w:t>
      </w:r>
    </w:p>
    <w:p>
      <w:pPr>
        <w:pStyle w:val="14"/>
        <w:rPr>
          <w:rFonts w:ascii="Arial" w:hAnsi="Arial" w:eastAsia="바탕"/>
          <w:b/>
          <w:color w:val="000000"/>
          <w:sz w:val="22"/>
        </w:rPr>
        <w:widowControl w:val="off"/>
      </w:pPr>
      <w:r>
        <w:rPr>
          <w:rFonts w:ascii="Arial" w:hAnsi="Arial" w:eastAsia="바탕"/>
          <w:b/>
          <w:color w:val="000000"/>
          <w:sz w:val="22"/>
        </w:rPr>
        <w:t xml:space="preserve">(1) 영아 및 어린이에서 </w:t>
      </w:r>
      <w:r>
        <w:rPr>
          <w:rFonts w:ascii="Arial" w:hAnsi="Arial" w:eastAsia="바탕"/>
          <w:b/>
          <w:color w:val="0000ff"/>
          <w:sz w:val="22"/>
          <w:u w:val="single" w:color="0000ff"/>
        </w:rPr>
        <w:t>프리베나13주</w:t>
      </w:r>
      <w:r>
        <w:rPr>
          <w:rFonts w:ascii="Arial" w:hAnsi="Arial" w:eastAsia="바탕"/>
          <w:b/>
          <w:color w:val="000000"/>
          <w:sz w:val="22"/>
        </w:rPr>
        <w:t xml:space="preserve">에 대한 해외 시판 후 경험 </w:t>
      </w:r>
    </w:p>
    <w:p>
      <w:pPr>
        <w:pStyle w:val="14"/>
        <w:rPr>
          <w:rFonts w:ascii="Arial" w:hAnsi="Arial" w:eastAsia="바탕"/>
          <w:color w:val="000000"/>
          <w:sz w:val="22"/>
        </w:rPr>
        <w:widowControl w:val="off"/>
      </w:pPr>
      <w:r>
        <w:rPr>
          <w:rFonts w:ascii="Arial" w:hAnsi="Arial" w:eastAsia="바탕"/>
          <w:color w:val="000000"/>
          <w:sz w:val="22"/>
        </w:rPr>
        <w:t>이 약의 임상시험에서 나타나지는 않았으나, 이 약의 시판 후 경험에서 보고되어 약물</w:t>
      </w:r>
      <w:r>
        <w:rPr>
          <w:rFonts w:eastAsia="바탕"/>
          <w:color w:val="000000"/>
          <w:sz w:val="22"/>
        </w:rPr>
        <w:t>이상</w:t>
      </w:r>
      <w:r>
        <w:rPr>
          <w:rFonts w:ascii="Arial" w:hAnsi="Arial" w:eastAsia="바탕"/>
          <w:color w:val="000000"/>
          <w:sz w:val="22"/>
        </w:rPr>
        <w:t>반응으로 간주되는 약물</w:t>
      </w:r>
      <w:r>
        <w:rPr>
          <w:rFonts w:eastAsia="바탕"/>
          <w:color w:val="000000"/>
          <w:sz w:val="22"/>
        </w:rPr>
        <w:t>이상</w:t>
      </w:r>
      <w:r>
        <w:rPr>
          <w:rFonts w:ascii="Arial" w:hAnsi="Arial" w:eastAsia="바탕"/>
          <w:color w:val="000000"/>
          <w:sz w:val="22"/>
        </w:rPr>
        <w:t>반응은 다음과 같다. 이들은 자발적보고이므로 빈도는 알 수 없는 것으로 간주하였다.</w:t>
      </w:r>
    </w:p>
    <w:tbl>
      <w:tblPr>
        <w:tblOverlap w:val="never"/>
        <w:tblW w:w="9469" w:type="dxa"/>
        <w:tblBorders>
          <w:top w:val="single" w:color="000000" w:sz="3"/>
          <w:left w:val="single" w:color="000000" w:sz="3"/>
          <w:bottom w:val="single" w:color="000000" w:sz="3"/>
          <w:right w:val="single" w:color="000000" w:sz="3"/>
        </w:tblBorders>
        <w:tblLayout w:type="fixed"/>
        <w:tblCellMar>
          <w:top w:w="28" w:type="dxa"/>
          <w:left w:w="102" w:type="dxa"/>
          <w:bottom w:w="28" w:type="dxa"/>
          <w:right w:w="102" w:type="dxa"/>
        </w:tblCellMar>
      </w:tblPr>
      <w:tblGrid/>
      <w:tr>
        <w:trPr>
          <w:trHeight w:val="329"/>
        </w:trPr>
        <w:tc>
          <w:tcPr>
            <w:tcW w:w="2178" w:type="dxa"/>
            <w:tcBorders>
              <w:top w:val="single" w:color="000000" w:sz="6"/>
              <w:left w:val="single" w:color="000000" w:sz="3"/>
              <w:bottom w:val="single" w:color="000000" w:sz="3"/>
              <w:right w:val="single" w:color="000000" w:sz="6"/>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기관계</w:t>
            </w:r>
          </w:p>
        </w:tc>
        <w:tc>
          <w:tcPr>
            <w:tcW w:w="7291" w:type="dxa"/>
            <w:tcBorders>
              <w:top w:val="single" w:color="000000" w:sz="6"/>
              <w:left w:val="single" w:color="000000" w:sz="6"/>
              <w:bottom w:val="single" w:color="000000" w:sz="3"/>
              <w:right w:val="single" w:color="000000" w:sz="6"/>
            </w:tcBorders>
            <w:vAlign w:val="top"/>
          </w:tcPr>
          <w:p>
            <w:pPr>
              <w:pStyle w:val="16"/>
              <w:rPr>
                <w:rFonts w:ascii="한양신명조" w:hAnsi="한양신명조" w:eastAsia="한양신명조"/>
                <w:b w:val="0"/>
                <w:color w:val="000000"/>
                <w:sz w:val="22"/>
                <w:u w:val="single"/>
              </w:rPr>
              <w:widowControl w:val="off"/>
              <w:jc w:val="left"/>
              <w:wordWrap w:val="1"/>
            </w:pPr>
            <w:r>
              <w:rPr>
                <w:rFonts w:ascii="한양신명조" w:hAnsi="한양신명조" w:eastAsia="한양신명조"/>
                <w:b w:val="0"/>
                <w:color w:val="000000"/>
                <w:sz w:val="22"/>
              </w:rPr>
              <w:t xml:space="preserve">빈도는 알려지지 않음 </w:t>
            </w:r>
            <w:r>
              <w:rPr>
                <w:rFonts w:ascii="한양신명조" w:hAnsi="한양신명조"/>
                <w:b w:val="0"/>
                <w:color w:val="000000"/>
                <w:sz w:val="22"/>
                <w:u w:val="single"/>
              </w:rPr>
              <w:t>(</w:t>
            </w:r>
            <w:r>
              <w:rPr>
                <w:rFonts w:ascii="한양신명조" w:hAnsi="한양신명조" w:eastAsia="한양신명조"/>
                <w:b w:val="0"/>
                <w:color w:val="000000"/>
                <w:sz w:val="22"/>
                <w:u w:val="single"/>
              </w:rPr>
              <w:t>기존 자료로 평가할 수 없음</w:t>
            </w:r>
            <w:r>
              <w:rPr>
                <w:rFonts w:ascii="한양신명조" w:hAnsi="한양신명조"/>
                <w:b w:val="0"/>
                <w:color w:val="000000"/>
                <w:sz w:val="22"/>
                <w:u w:val="single"/>
              </w:rPr>
              <w:t>)*</w:t>
            </w:r>
          </w:p>
        </w:tc>
      </w:tr>
      <w:tr>
        <w:trPr>
          <w:trHeight w:val="387"/>
        </w:trPr>
        <w:tc>
          <w:tcPr>
            <w:tcW w:w="2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혈액 및 림프계</w:t>
            </w:r>
          </w:p>
        </w:tc>
        <w:tc>
          <w:tcPr>
            <w:tcW w:w="7291" w:type="dxa"/>
            <w:tcBorders>
              <w:top w:val="single" w:color="000000" w:sz="3"/>
              <w:left w:val="single" w:color="000000" w:sz="3"/>
              <w:bottom w:val="single" w:color="000000" w:sz="3"/>
              <w:right w:val="single" w:color="000000" w:sz="3"/>
            </w:tcBorders>
            <w:vAlign w:val="top"/>
          </w:tcPr>
          <w:p>
            <w:pPr>
              <w:pStyle w:val="14"/>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접종부위에 한정된 림프절병증</w:t>
            </w:r>
          </w:p>
        </w:tc>
      </w:tr>
      <w:tr>
        <w:trPr>
          <w:trHeight w:val="360"/>
        </w:trPr>
        <w:tc>
          <w:tcPr>
            <w:tcW w:w="2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eastAsia="한양신명조"/>
                <w:color w:val="000000"/>
                <w:sz w:val="22"/>
                <w:u w:val="single"/>
              </w:rPr>
              <w:t>면역계</w:t>
            </w:r>
          </w:p>
        </w:tc>
        <w:tc>
          <w:tcPr>
            <w:tcW w:w="729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쇼크를 포함한 아나필락시스/아나필락시양 반응</w:t>
            </w:r>
          </w:p>
        </w:tc>
      </w:tr>
      <w:tr>
        <w:trPr>
          <w:trHeight w:val="355"/>
        </w:trPr>
        <w:tc>
          <w:tcPr>
            <w:tcW w:w="2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피부 및 피하조직</w:t>
            </w:r>
          </w:p>
        </w:tc>
        <w:tc>
          <w:tcPr>
            <w:tcW w:w="729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혈관 부종</w:t>
            </w:r>
            <w:r>
              <w:rPr>
                <w:rFonts w:ascii="한양신명조" w:hAnsi="한양신명조"/>
                <w:color w:val="000000"/>
                <w:sz w:val="22"/>
                <w:u w:val="single"/>
              </w:rPr>
              <w:t xml:space="preserve">; </w:t>
            </w:r>
            <w:r>
              <w:rPr>
                <w:rFonts w:eastAsia="한양신명조"/>
                <w:color w:val="000000"/>
                <w:sz w:val="22"/>
                <w:u w:val="single"/>
              </w:rPr>
              <w:t>다형홍반</w:t>
            </w:r>
            <w:r>
              <w:rPr>
                <w:rFonts w:ascii="한양신명조" w:hAnsi="한양신명조"/>
                <w:color w:val="000000"/>
                <w:sz w:val="22"/>
                <w:u w:val="single"/>
              </w:rPr>
              <w:t xml:space="preserve">, </w:t>
            </w:r>
            <w:r>
              <w:rPr>
                <w:rFonts w:ascii="한양신명조" w:hAnsi="한양신명조" w:eastAsia="한양신명조"/>
                <w:color w:val="000000"/>
                <w:sz w:val="22"/>
                <w:u w:val="single"/>
              </w:rPr>
              <w:t>혈관 신경성 부종</w:t>
            </w:r>
          </w:p>
        </w:tc>
      </w:tr>
      <w:tr>
        <w:trPr>
          <w:trHeight w:val="345"/>
        </w:trPr>
        <w:tc>
          <w:tcPr>
            <w:tcW w:w="2178"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전신 및 접종부위</w:t>
            </w:r>
          </w:p>
        </w:tc>
        <w:tc>
          <w:tcPr>
            <w:tcW w:w="7291" w:type="dxa"/>
            <w:tcBorders>
              <w:top w:val="single" w:color="000000" w:sz="3"/>
              <w:left w:val="single" w:color="000000" w:sz="3"/>
              <w:bottom w:val="single" w:color="000000" w:sz="3"/>
              <w:right w:val="single" w:color="000000" w:sz="3"/>
            </w:tcBorders>
            <w:vAlign w:val="top"/>
          </w:tcPr>
          <w:p>
            <w:pPr>
              <w:pStyle w:val="15"/>
              <w:rPr>
                <w:rFonts w:ascii="한양신명조" w:hAnsi="한양신명조" w:eastAsia="한양신명조"/>
                <w:color w:val="000000"/>
                <w:sz w:val="22"/>
                <w:u w:val="single"/>
              </w:rPr>
              <w:widowControl w:val="off"/>
            </w:pPr>
            <w:r>
              <w:rPr>
                <w:rFonts w:ascii="한양신명조" w:hAnsi="한양신명조" w:eastAsia="한양신명조"/>
                <w:color w:val="000000"/>
                <w:sz w:val="22"/>
                <w:u w:val="single"/>
              </w:rPr>
              <w:t>접종부위 피부염, 접종부위 두드러기, 접종부위 가려움증, 홍조</w:t>
            </w:r>
          </w:p>
        </w:tc>
      </w:tr>
    </w:tbl>
    <w:p>
      <w:pPr>
        <w:pStyle w:val="14"/>
        <w:rPr>
          <w:rFonts w:ascii="Arial" w:hAnsi="Arial" w:eastAsia="바탕"/>
          <w:color w:val="000000"/>
          <w:sz w:val="22"/>
        </w:rPr>
        <w:widowControl w:val="off"/>
      </w:pPr>
    </w:p>
    <w:p>
      <w:pPr>
        <w:pStyle w:val="14"/>
        <w:rPr>
          <w:rFonts w:ascii="Arial" w:hAnsi="Arial" w:eastAsia="바탕"/>
          <w:color w:val="000000"/>
          <w:sz w:val="22"/>
        </w:rPr>
        <w:widowControl w:val="off"/>
      </w:pPr>
      <w:r>
        <w:rPr>
          <w:rFonts w:ascii="Arial" w:hAnsi="Arial" w:eastAsia="바탕"/>
          <w:color w:val="000000"/>
          <w:sz w:val="22"/>
        </w:rPr>
        <w:t>* 시판 후 조사에서 확인된 이상반응</w:t>
      </w:r>
    </w:p>
    <w:p>
      <w:pPr>
        <w:pStyle w:val="0"/>
        <w:rPr>
          <w:rFonts w:ascii="Arial" w:hAnsi="Arial"/>
          <w:color w:val="000000"/>
          <w:sz w:val="22"/>
          <w:shd w:val="clear" w:color="000000" w:fill="ffffff"/>
        </w:rPr>
        <w:widowControl w:val="off"/>
      </w:pPr>
    </w:p>
    <w:p>
      <w:pPr>
        <w:pStyle w:val="0"/>
        <w:rPr>
          <w:rFonts w:ascii="Arial" w:hAnsi="Arial"/>
          <w:b/>
          <w:color w:val="000000"/>
          <w:sz w:val="22"/>
          <w:shd w:val="clear" w:color="000000" w:fill="ffffff"/>
        </w:rPr>
        <w:widowControl w:val="off"/>
      </w:pPr>
      <w:r>
        <w:rPr>
          <w:rFonts w:ascii="Arial" w:hAnsi="Arial"/>
          <w:b/>
          <w:color w:val="000000"/>
          <w:sz w:val="22"/>
          <w:shd w:val="clear" w:color="000000" w:fill="ffffff"/>
        </w:rPr>
        <w:t>(2)</w:t>
      </w:r>
      <w:r>
        <w:rPr>
          <w:b/>
          <w:color w:val="000000"/>
          <w:sz w:val="22"/>
          <w:shd w:val="clear" w:color="000000" w:fill="ffffff"/>
        </w:rPr>
        <w:t xml:space="preserve"> </w:t>
      </w:r>
      <w:r>
        <w:rPr>
          <w:rFonts w:ascii="Arial" w:hAnsi="Arial"/>
          <w:b/>
          <w:color w:val="000000"/>
          <w:sz w:val="22"/>
          <w:shd w:val="clear" w:color="000000" w:fill="ffffff"/>
        </w:rPr>
        <w:t xml:space="preserve">영아 및 어린이에서 </w:t>
      </w:r>
      <w:r>
        <w:rPr>
          <w:rFonts w:ascii="Arial" w:hAnsi="Arial"/>
          <w:b/>
          <w:color w:val="0000ff"/>
          <w:sz w:val="22"/>
          <w:u w:val="single" w:color="0000ff"/>
          <w:shd w:val="clear" w:color="000000" w:fill="ffffff"/>
        </w:rPr>
        <w:t>프리베나(폐렴구균단백접합 7가백신)</w:t>
      </w:r>
      <w:r>
        <w:rPr>
          <w:rFonts w:ascii="Arial" w:hAnsi="Arial"/>
          <w:b/>
          <w:color w:val="000000"/>
          <w:sz w:val="22"/>
          <w:shd w:val="clear" w:color="000000" w:fill="ffffff"/>
        </w:rPr>
        <w:t>에 대한 해외 시판 후 경험</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프리베나에 대해 지시받은 시판후조사에서 보고된 약물</w:t>
      </w:r>
      <w:r>
        <w:rPr>
          <w:color w:val="000000"/>
          <w:sz w:val="22"/>
          <w:shd w:val="clear" w:color="000000" w:fill="ffffff"/>
        </w:rPr>
        <w:t>이상</w:t>
      </w:r>
      <w:r>
        <w:rPr>
          <w:rFonts w:ascii="Arial" w:hAnsi="Arial"/>
          <w:color w:val="000000"/>
          <w:sz w:val="22"/>
          <w:shd w:val="clear" w:color="000000" w:fill="ffffff"/>
        </w:rPr>
        <w:t>반응 중, 프리베나13주에서 이미 보고되지 않았던 반응은 없었다.</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 xml:space="preserve">일상적인 투여방법의 일부로서, 다른 백신과 병용투여 시 프리베나의 안전성이 평가되었는데, 북부 캘리포니아 카이저 퍼머넌트 시험 </w:t>
      </w:r>
      <w:r>
        <w:rPr>
          <w:color w:val="000000"/>
          <w:sz w:val="22"/>
          <w:shd w:val="clear" w:color="000000" w:fill="ffffff"/>
        </w:rPr>
        <w:t>(NCKP)</w:t>
      </w:r>
      <w:r>
        <w:rPr>
          <w:rFonts w:ascii="Arial" w:hAnsi="Arial"/>
          <w:color w:val="000000"/>
          <w:sz w:val="22"/>
          <w:shd w:val="clear" w:color="000000" w:fill="ffffff"/>
        </w:rPr>
        <w:t xml:space="preserve">에서, 태어난 첫 해 동안 프리베나를 3회 투여 받은 65,927명의 소아를 대상으로 3년간의 관찰조사가 수행되었다. 일차 안전성결과 분석에는 예방접종과 일시적으로 관련되어 나타나는 사전-정의된 </w:t>
      </w:r>
      <w:r>
        <w:rPr>
          <w:color w:val="000000"/>
          <w:sz w:val="22"/>
          <w:shd w:val="clear" w:color="000000" w:fill="ffffff"/>
        </w:rPr>
        <w:t>이상</w:t>
      </w:r>
      <w:r>
        <w:rPr>
          <w:rFonts w:ascii="Arial" w:hAnsi="Arial"/>
          <w:color w:val="000000"/>
          <w:sz w:val="22"/>
          <w:shd w:val="clear" w:color="000000" w:fill="ffffff"/>
        </w:rPr>
        <w:t>사례 평가가 포함되었다. 예방접종 후 다양한 기간 내에(예, 0-2, 0-7, 0-14, 0-30일) 발생하는 이상반응의 비율을 대조 시간대(즉, 31-60일) 이내에서 발생하는 이상반응의 비율과 비교하였다.</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이차 안전성결과 분석은 프리베나 도입 이전의, 과거 영아 대조군 (1995-1996, N=40,223)과의 비교를 포함하였다. 또한 이 연구는 NCKP 유효성 시험(N=37,866)에 등록된 기존 피험자의 연장된 추적조사도 포함하였다.</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 xml:space="preserve">일차 안전성결과 분석에서 용량, 의료환경, 또는 다양한 기간에 걸쳐, 상기도막힘, 위장염, 알레르기 반응, 발작, 천명 진단, 또는 호흡중지로 인한 의료이용에 대해 일관적으로 증가된 위험은 입증되지 않았다. </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허가 전 임상시험에 따르면 발열은 프리베나 투여와 연관되었다. 이차 안전성결과 분석에서, 반응성 기도질환으로 인한 입원의 상대 위험도 보정수치는 1.23(95% 신뢰구간: 1.11, 1.35)이었다. 병용투여한 백신 간의 차이, 호흡기 감염의 연간 변화, 반응성 기도질환 발생률의 추세변화와 같은 잠재적 교란요인들은 통제할 수 없었다.</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NCKP 유효성 시험에 등록된 기존 피험자에 대한 연장 추적조사에서 프리베나 투여 피험자 중 반응성 기도질환의 위험성 증가는 없었다. 전반적으로, 시험결과는 기존에 설명되었던 프리베나의 안전성 프로파일을 뒷받침한다.</w:t>
      </w:r>
    </w:p>
    <w:p>
      <w:pPr>
        <w:pStyle w:val="0"/>
        <w:rPr>
          <w:rFonts w:ascii="Arial" w:hAnsi="Arial"/>
          <w:color w:val="000000"/>
          <w:sz w:val="22"/>
          <w:shd w:val="clear" w:color="000000" w:fill="ffffff"/>
        </w:rPr>
        <w:widowControl w:val="off"/>
      </w:pPr>
    </w:p>
    <w:p>
      <w:pPr>
        <w:pStyle w:val="14"/>
        <w:rPr>
          <w:rFonts w:ascii="Arial" w:hAnsi="Arial" w:eastAsia="바탕"/>
          <w:b/>
          <w:color w:val="000000"/>
          <w:sz w:val="22"/>
        </w:rPr>
        <w:widowControl w:val="off"/>
        <w:spacing w:after="60"/>
      </w:pPr>
      <w:r>
        <w:rPr>
          <w:rFonts w:ascii="Arial" w:hAnsi="Arial"/>
          <w:b/>
          <w:color w:val="000000"/>
          <w:sz w:val="22"/>
        </w:rPr>
        <w:t xml:space="preserve">(3) </w:t>
      </w:r>
      <w:r>
        <w:rPr>
          <w:rFonts w:eastAsia="바탕"/>
          <w:b/>
          <w:color w:val="0000ff"/>
          <w:sz w:val="22"/>
          <w:u w:val="single" w:color="0000ff"/>
        </w:rPr>
        <w:t>프리베나</w:t>
      </w:r>
      <w:r>
        <w:rPr>
          <w:rFonts w:ascii="Arial" w:hAnsi="Arial"/>
          <w:b/>
          <w:color w:val="0000ff"/>
          <w:sz w:val="22"/>
          <w:u w:val="single" w:color="0000ff"/>
        </w:rPr>
        <w:t>(폐렴구균단백접합 7가백신)</w:t>
      </w:r>
      <w:r>
        <w:rPr>
          <w:rFonts w:ascii="Arial" w:hAnsi="Arial" w:eastAsia="바탕"/>
          <w:b/>
          <w:color w:val="000000"/>
          <w:sz w:val="22"/>
        </w:rPr>
        <w:t xml:space="preserve">에 대한 국내 시판 후 조사 결과 </w:t>
      </w:r>
    </w:p>
    <w:p>
      <w:pPr>
        <w:pStyle w:val="14"/>
        <w:rPr>
          <w:rFonts w:ascii="Arial" w:hAnsi="Arial" w:eastAsia="바탕"/>
          <w:color w:val="000000"/>
          <w:sz w:val="22"/>
        </w:rPr>
        <w:widowControl w:val="off"/>
        <w:spacing w:after="60"/>
      </w:pPr>
      <w:r>
        <w:rPr>
          <w:rFonts w:ascii="Arial" w:hAnsi="Arial" w:eastAsia="바탕"/>
          <w:color w:val="000000"/>
          <w:sz w:val="22"/>
        </w:rPr>
        <w:t xml:space="preserve">국내에서 6년 동안 857명을 대상으로 실시한 </w:t>
      </w:r>
      <w:r>
        <w:rPr>
          <w:rFonts w:ascii="Arial" w:hAnsi="Arial" w:eastAsia="바탕"/>
          <w:color w:val="000000"/>
          <w:sz w:val="22"/>
        </w:rPr>
        <w:t>시판 후</w:t>
      </w:r>
      <w:r>
        <w:rPr>
          <w:rFonts w:ascii="Arial" w:hAnsi="Arial" w:eastAsia="바탕"/>
          <w:color w:val="000000"/>
          <w:sz w:val="22"/>
        </w:rPr>
        <w:t xml:space="preserve"> 사용성적조사 결과, </w:t>
      </w:r>
      <w:r>
        <w:rPr>
          <w:rFonts w:eastAsia="바탕"/>
          <w:color w:val="000000"/>
          <w:sz w:val="22"/>
        </w:rPr>
        <w:t>이상</w:t>
      </w:r>
      <w:r>
        <w:rPr>
          <w:rFonts w:ascii="Arial" w:hAnsi="Arial" w:eastAsia="바탕"/>
          <w:color w:val="000000"/>
          <w:sz w:val="22"/>
        </w:rPr>
        <w:t xml:space="preserve">사례 발현율은 22.87%로 보고되었다. </w:t>
      </w:r>
      <w:r>
        <w:rPr>
          <w:rFonts w:ascii="Arial" w:hAnsi="Arial" w:eastAsia="바탕"/>
          <w:color w:val="000000"/>
          <w:sz w:val="22"/>
        </w:rPr>
        <w:t>이 중 본 제와</w:t>
      </w:r>
      <w:r>
        <w:rPr>
          <w:rFonts w:ascii="Arial" w:hAnsi="Arial" w:eastAsia="바탕"/>
          <w:color w:val="000000"/>
          <w:sz w:val="22"/>
        </w:rPr>
        <w:t xml:space="preserve"> 인과관계를 배제할 수 없는 약물</w:t>
      </w:r>
      <w:r>
        <w:rPr>
          <w:rFonts w:eastAsia="바탕"/>
          <w:color w:val="000000"/>
          <w:sz w:val="22"/>
        </w:rPr>
        <w:t>이상</w:t>
      </w:r>
      <w:r>
        <w:rPr>
          <w:rFonts w:ascii="Arial" w:hAnsi="Arial" w:eastAsia="바탕"/>
          <w:color w:val="000000"/>
          <w:sz w:val="22"/>
        </w:rPr>
        <w:t>반응의 발현율은 22.75%</w:t>
      </w:r>
      <w:r>
        <w:rPr>
          <w:rFonts w:eastAsia="바탕"/>
          <w:color w:val="000000"/>
          <w:sz w:val="22"/>
        </w:rPr>
        <w:t>이었고</w:t>
      </w:r>
      <w:r>
        <w:rPr>
          <w:rFonts w:ascii="Arial" w:hAnsi="Arial" w:eastAsia="바탕"/>
          <w:color w:val="000000"/>
          <w:sz w:val="22"/>
        </w:rPr>
        <w:t>, 보챔(143건), 발열(118건), 주사부위의 홍반(98건), 주사부위의 종창(89건), 주사부위의 압통(45건), 수면장애(32건), 식욕부진(24건), 설사(13건), 발진(7건), 구토(5건), 주사부위 멍(1건), 활동성 저하(1건), 기침(1건), 상기도감염(1건), 세기관지염(1건)</w:t>
      </w:r>
      <w:r>
        <w:rPr>
          <w:rFonts w:ascii="Arial" w:hAnsi="Arial" w:eastAsia="바탕"/>
          <w:color w:val="000000"/>
          <w:sz w:val="22"/>
        </w:rPr>
        <w:t>이 보고되었다</w:t>
      </w:r>
      <w:r>
        <w:rPr>
          <w:rFonts w:ascii="Arial" w:hAnsi="Arial"/>
          <w:color w:val="000000"/>
          <w:sz w:val="22"/>
        </w:rPr>
        <w:t>.</w:t>
      </w:r>
    </w:p>
    <w:p>
      <w:pPr>
        <w:pStyle w:val="0"/>
        <w:rPr>
          <w:rFonts w:ascii="Arial" w:hAnsi="Arial"/>
          <w:color w:val="000000"/>
          <w:sz w:val="22"/>
          <w:shd w:val="clear" w:color="000000" w:fill="ffffff"/>
        </w:rPr>
        <w:widowControl w:val="off"/>
      </w:pPr>
      <w:r>
        <w:rPr>
          <w:rFonts w:ascii="Arial" w:hAnsi="Arial"/>
          <w:color w:val="000000"/>
          <w:sz w:val="22"/>
          <w:shd w:val="clear" w:color="000000" w:fill="ffffff"/>
        </w:rPr>
        <w:t>이 중</w:t>
      </w:r>
      <w:r>
        <w:rPr>
          <w:rFonts w:ascii="Arial" w:hAnsi="Arial"/>
          <w:color w:val="000000"/>
          <w:sz w:val="22"/>
          <w:shd w:val="clear" w:color="000000" w:fill="ffffff"/>
        </w:rPr>
        <w:t xml:space="preserve"> 중대한 </w:t>
      </w:r>
      <w:r>
        <w:rPr>
          <w:color w:val="000000"/>
          <w:sz w:val="22"/>
          <w:shd w:val="clear" w:color="000000" w:fill="ffffff"/>
        </w:rPr>
        <w:t>이상</w:t>
      </w:r>
      <w:r>
        <w:rPr>
          <w:rFonts w:ascii="Arial" w:hAnsi="Arial"/>
          <w:color w:val="000000"/>
          <w:sz w:val="22"/>
          <w:shd w:val="clear" w:color="000000" w:fill="ffffff"/>
        </w:rPr>
        <w:t>사례는 발열 1건이었으나 곧 소실되었다. 이 중 예상하지 못했던 약물</w:t>
      </w:r>
      <w:r>
        <w:rPr>
          <w:color w:val="000000"/>
          <w:sz w:val="22"/>
          <w:shd w:val="clear" w:color="000000" w:fill="ffffff"/>
        </w:rPr>
        <w:t>이상</w:t>
      </w:r>
      <w:r>
        <w:rPr>
          <w:rFonts w:ascii="Arial" w:hAnsi="Arial"/>
          <w:color w:val="000000"/>
          <w:sz w:val="22"/>
          <w:shd w:val="clear" w:color="000000" w:fill="ffffff"/>
        </w:rPr>
        <w:t>반응은 4명에서 기침, 상기도감염, 세기관지염, 멍이 각 1건씩 총 4건</w:t>
      </w:r>
      <w:r>
        <w:rPr>
          <w:color w:val="000000"/>
          <w:sz w:val="22"/>
          <w:shd w:val="clear" w:color="000000" w:fill="ffffff"/>
        </w:rPr>
        <w:t>이</w:t>
      </w:r>
      <w:r>
        <w:rPr>
          <w:rFonts w:ascii="Arial" w:hAnsi="Arial"/>
          <w:color w:val="000000"/>
          <w:sz w:val="22"/>
          <w:shd w:val="clear" w:color="000000" w:fill="ffffff"/>
        </w:rPr>
        <w:t xml:space="preserve"> 보고되었다.</w:t>
      </w:r>
    </w:p>
    <w:p>
      <w:pPr>
        <w:pStyle w:val="14"/>
        <w:rPr>
          <w:rFonts w:ascii="Arial" w:hAnsi="Arial" w:eastAsia="바탕"/>
          <w:b/>
          <w:color w:val="000000"/>
          <w:sz w:val="22"/>
        </w:rPr>
        <w:widowControl w:val="off"/>
      </w:pPr>
    </w:p>
    <w:p>
      <w:pPr>
        <w:pStyle w:val="14"/>
        <w:rPr>
          <w:rFonts w:ascii="Arial" w:hAnsi="Arial" w:eastAsia="바탕"/>
          <w:b/>
          <w:color w:val="0000ff"/>
          <w:sz w:val="22"/>
          <w:u w:val="single" w:color="0000ff"/>
        </w:rPr>
        <w:widowControl w:val="off"/>
      </w:pPr>
      <w:r>
        <w:rPr>
          <w:rFonts w:ascii="Arial" w:hAnsi="Arial"/>
          <w:b/>
          <w:color w:val="0000ff"/>
          <w:sz w:val="22"/>
          <w:u w:val="single" w:color="0000ff"/>
        </w:rPr>
        <w:t>(4) 생후 6주 이상부터 만 17세까지의 영아, 어린이 및 청소년을 대상으로 한</w:t>
      </w:r>
      <w:r>
        <w:rPr>
          <w:rFonts w:ascii="Arial" w:hAnsi="Arial" w:eastAsia="바탕"/>
          <w:b/>
          <w:color w:val="0000ff"/>
          <w:sz w:val="22"/>
          <w:u w:val="single" w:color="0000ff"/>
        </w:rPr>
        <w:t xml:space="preserve"> 프리베나13주의 국내 시판 후 조사 결과</w:t>
      </w:r>
    </w:p>
    <w:p>
      <w:pPr>
        <w:pStyle w:val="0"/>
        <w:rPr>
          <w:rFonts w:ascii="Arial" w:hAnsi="Arial" w:eastAsia="바탕체"/>
          <w:color w:val="0000ff"/>
          <w:sz w:val="22"/>
          <w:u w:val="single" w:color="0000ff"/>
          <w:shd w:val="clear" w:color="000000" w:fill="ffffff"/>
        </w:rPr>
        <w:widowControl w:val="off"/>
      </w:pPr>
      <w:r>
        <w:rPr>
          <w:rFonts w:ascii="Arial" w:hAnsi="Arial" w:eastAsia="바탕체"/>
          <w:color w:val="0000ff"/>
          <w:sz w:val="22"/>
          <w:u w:val="single" w:color="0000ff"/>
          <w:shd w:val="clear" w:color="000000" w:fill="ffffff"/>
        </w:rPr>
        <w:t>국내에서 6년 동안 649명을 대상으로 실시한 시판 후 사용성적조사 결과, 이상사례 발현율은 25.58%(166명/649명, 304건)이었고, 이 중 본 제와 인과관계를 배제할 수 없는 약물이상반응 발현율은 12.63%(82명/649명, 118건)이며, 발열 5.7%(37명/649명, 47건), 인두염 2.0%(13명/649명, 16건), 기관지염, 기침, 주사부위반응이 각각 1.08%(7명649명, 각 9건, 8건, 7건)이 보고되었다. 그 밖에 1% 미만으로 보고된 약물이상반응을 기관별로 분류하면 다음과 같다</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color w:val="0000ff"/>
          <w:sz w:val="22"/>
          <w:u w:val="single" w:color="0000ff"/>
          <w:shd w:val="clear" w:color="000000" w:fill="ffffff"/>
        </w:rPr>
        <w:t></w:t>
      </w:r>
      <w:r>
        <w:rPr>
          <w:rFonts w:ascii="Arial" w:hAnsi="Arial" w:eastAsia="바탕체"/>
          <w:color w:val="0000ff"/>
          <w:sz w:val="22"/>
          <w:u w:val="single" w:color="0000ff"/>
          <w:shd w:val="clear" w:color="000000" w:fill="ffffff"/>
        </w:rPr>
        <w:t xml:space="preserve"> 방어기전 장애: 상기도감염, 중이염, 방광염</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전신적 질환: 울음이상</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피부와 부속기관 장애: 두드러기, 발진, 가려움증</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위장관계 장애: 장염, 위장염, 식욕감퇴</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호흡기계 질환: 가래질환</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투여부위 장애: 주사부위 발진</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정신질환: 신경과민, 불면증</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근육·골격계 장애: 인대장애</w:t>
      </w:r>
    </w:p>
    <w:p>
      <w:pPr>
        <w:pStyle w:val="0"/>
        <w:rPr>
          <w:rFonts w:ascii="Arial" w:hAnsi="Arial" w:eastAsia="바탕체"/>
          <w:color w:val="0000ff"/>
          <w:sz w:val="22"/>
          <w:u w:val="single" w:color="0000ff"/>
          <w:shd w:val="clear" w:color="000000" w:fill="ffffff"/>
        </w:rPr>
        <w:widowControl w:val="off"/>
      </w:pPr>
      <w:r>
        <w:rPr>
          <w:rFonts w:ascii="Arial" w:hAnsi="Arial" w:eastAsia="바탕체"/>
          <w:color w:val="0000ff"/>
          <w:sz w:val="22"/>
          <w:u w:val="single" w:color="0000ff"/>
          <w:shd w:val="clear" w:color="000000" w:fill="ffffff"/>
        </w:rPr>
        <w:t>중대한 이상사례 발현율은 0.46%(3명/649명, 6건)이며, 폐렴 0.46%(3명/649명, 4건), 인두염, 효과없는 약이 각각 0.15%(1명/649명, 1건)가 보고되었다. 이 중 본 제와 인과관계를 배제할 수 없는 중대한 약물이상반응은 확인되지 않았다.</w:t>
      </w:r>
    </w:p>
    <w:p>
      <w:pPr>
        <w:pStyle w:val="0"/>
        <w:rPr>
          <w:rFonts w:ascii="Arial" w:hAnsi="Arial" w:eastAsia="바탕체"/>
          <w:color w:val="0000ff"/>
          <w:sz w:val="22"/>
          <w:u w:val="single" w:color="0000ff"/>
          <w:shd w:val="clear" w:color="000000" w:fill="ffffff"/>
        </w:rPr>
        <w:widowControl w:val="off"/>
      </w:pPr>
      <w:r>
        <w:rPr>
          <w:rFonts w:ascii="Arial" w:hAnsi="Arial" w:eastAsia="바탕체"/>
          <w:color w:val="0000ff"/>
          <w:sz w:val="22"/>
          <w:u w:val="single" w:color="0000ff"/>
          <w:shd w:val="clear" w:color="000000" w:fill="ffffff"/>
        </w:rPr>
        <w:t>예상하지 못한 이상사례 발현율은 14.64%(95명/649명, 142건)이었고, 인두염 5.24%(34명/649명, 40건), 비염 2.93%(19명/649명, 21건), 기관지염 2.31%(15명/649명, 18건), 장염 1.85%(12명/649명, 12건), 피부염 1.08%(7건/649명, 7건)가 보고되었다. 그 밖에 1% 미만으로 보고된 예상하지 못한 이상사례를 기관별로 분류하면 다음과 같다</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방어기전 장애: 신우신염, 바이러스감염, 방광염, 부비동염, 종기</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피부와 부속기관 장애: 습진, 피부질환, 접촉성피부염, 가려움증, 지루</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위장관계 장애: 위장염, 설사, 상세불명의위창자질환, 변비</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호흡기계 질환: 기침, 가래질환</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정신질환: 불면증</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시각장애: 결막염, 누관폐쇄, 사위</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근육·골격계 장애: 인대장애</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신생물: 모반</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적혈구 장애: 저색소성빈혈</w:t>
      </w:r>
    </w:p>
    <w:p>
      <w:pPr>
        <w:pStyle w:val="0"/>
        <w:rPr>
          <w:rFonts w:ascii="Arial" w:hAnsi="Arial" w:eastAsia="바탕체"/>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eastAsia="바탕체"/>
          <w:color w:val="0000ff"/>
          <w:sz w:val="22"/>
          <w:u w:val="single" w:color="0000ff"/>
          <w:shd w:val="clear" w:color="000000" w:fill="ffffff"/>
        </w:rPr>
        <w:t> 청력 및 전정기관 장애: 이통</w:t>
      </w:r>
    </w:p>
    <w:p>
      <w:pPr>
        <w:pStyle w:val="0"/>
        <w:rPr>
          <w:rFonts w:ascii="Arial" w:hAnsi="Arial" w:eastAsia="바탕체"/>
          <w:color w:val="0000ff"/>
          <w:sz w:val="22"/>
          <w:u w:val="single" w:color="0000ff"/>
          <w:shd w:val="clear" w:color="000000" w:fill="ffffff"/>
        </w:rPr>
        <w:widowControl w:val="off"/>
      </w:pPr>
      <w:r>
        <w:rPr>
          <w:rFonts w:ascii="Arial" w:hAnsi="Arial" w:eastAsia="바탕체"/>
          <w:color w:val="0000ff"/>
          <w:sz w:val="22"/>
          <w:u w:val="single" w:color="0000ff"/>
          <w:shd w:val="clear" w:color="000000" w:fill="ffffff"/>
        </w:rPr>
        <w:t>이 중 본 제와 인과관계를 배제할 수 없는 예상하지 못한 약물이상반응 발현율은 4.01%(26명/649명, 35건)이며, 인두염 2.0%(13명/649명, 16건), 기관지염 1.08%(7명/649명, 9건), 장염 0.62%(4명/694명, 4건), 방광염, 가려움증, 위장염, 가래질환, 불면증, 인대장애가 각각 0.15%(1명/649명, 1건)가 보고되었다. 중대하고 예상하지 못한 이상사례 발현율은 0.15%(1명/649명, 1건)이며, 인두염으로 보고되었다. 이 중 중대하고 예상하지 못한 약물이상반응은 확인되지 않았다.</w:t>
      </w:r>
    </w:p>
    <w:p>
      <w:pPr>
        <w:pStyle w:val="14"/>
        <w:rPr>
          <w:rFonts w:ascii="Arial" w:hAnsi="Arial"/>
          <w:color w:val="0000ff"/>
          <w:sz w:val="22"/>
          <w:u w:val="single" w:color="0000ff"/>
        </w:rPr>
        <w:widowControl w:val="off"/>
      </w:pPr>
    </w:p>
    <w:p>
      <w:pPr>
        <w:pStyle w:val="14"/>
        <w:rPr>
          <w:rFonts w:ascii="Arial" w:hAnsi="Arial" w:eastAsia="바탕"/>
          <w:b/>
          <w:color w:val="0000ff"/>
          <w:sz w:val="22"/>
          <w:u w:val="single" w:color="0000ff"/>
        </w:rPr>
        <w:widowControl w:val="off"/>
      </w:pPr>
      <w:r>
        <w:rPr>
          <w:rFonts w:ascii="Arial" w:hAnsi="Arial" w:eastAsia="바탕"/>
          <w:b/>
          <w:color w:val="0000ff"/>
          <w:sz w:val="22"/>
          <w:u w:val="single" w:color="0000ff"/>
        </w:rPr>
        <w:t>(5) 18세 이상의 성인을 대상으로 한 프리베나13주의 국내 시판 후 조사 결과</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국내에서 4년 동안 658명을 대상으로 실시한 시판 후 사용성적조사 결과, 이상사례 발현율은 21.28%(140명/658명, 208건)이었고 이 중 본 제와 인과관계를 배제할 수 없는 약물이상반응 발현율은 20.21%(133명/658명, 198건)이며, 주사부위통증 12.01%(79명/658명, 79건), 주사부위반응 5.32%(35명/658명, 45건), 발열 3.80%(25명/658명, 25건), 근육통 3.19%(21명/658명, 21건), 주사부위가려움 1.82%(12명/658명, 12건)이 보고되었으며 그밖에 1% 미만으로 보고된 약물이상반응을 기관별로 분류하면 다음과 같다</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투여부위 장애: 연조직염, 주사부위두드러기</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전신적 질환: 오한으로인한떨림</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방어기전 장애: 대상포진, 인두염</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위장관계 장애: 소화불량, 위궤양</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호흡기계 질환: 기침</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백혈구, RES 장애: 백혈구감소증</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 xml:space="preserve"> </w:t>
      </w:r>
      <w:r>
        <w:rPr>
          <w:rFonts w:ascii="Arial" w:hAnsi="Arial"/>
          <w:color w:val="0000ff"/>
          <w:sz w:val="22"/>
          <w:u w:val="single" w:color="0000ff"/>
          <w:shd w:val="clear" w:color="000000" w:fill="ffffff"/>
        </w:rPr>
        <w:t>중추 및 말초신경계 장애: 편두통</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중대한 이상사례 발현율은 0.30%(2명/658명, 3건)이며 바이러스감염, 구토, 장폐쇄가 각각 0.15%(1명/658명, 1건)이 보고되었다. 이 중 본제와 인과관계를 배제할 수 없는 중대한 약물이상반응은 확인되지 않았다.</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예상하지 못한 이상사례 발현율은 2.13%(14명/658명, 15건)이며, 연조직염 0.76%(5명/658명, 5건), CRP증가, 요통, 대상포진, 바이러스감염, 요로감염, 인두염, 소화불량, 위궤양, 장폐쇄, 백혈구감소증 각각 0.15%(1명/658명, 1건)이 보고되었다. 이 중 인과관계를 배제할 수 없는 예상하지 못한 약물이상반응 발현율은 1.52%(10명/658명, 10건)이며 연조직염 0.76%(5명/658명, 5건), 대상포진, 인두염, 소화불량, 위궤양, 백혈구감소증 각각 0.15%(1명/658명, 1건)이 보고되었다.</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중대하고 예상하지 못한 이상사례 발현율은 0.30%(2명/658명, 2건)이며 바이러스감염, 장폐쇄 각각 0.15%(1명/658명, 1건)이 보고되었으며 이 중 중대하고 예상하지 못한 약물이상반응은 확인되지 않았다.</w:t>
      </w:r>
    </w:p>
    <w:p>
      <w:pPr>
        <w:pStyle w:val="14"/>
        <w:rPr>
          <w:rFonts w:ascii="Arial" w:hAnsi="Arial" w:eastAsia="바탕"/>
          <w:b/>
          <w:color w:val="000000"/>
          <w:sz w:val="22"/>
        </w:rPr>
        <w:widowControl w:val="off"/>
      </w:pPr>
    </w:p>
    <w:p>
      <w:pPr>
        <w:pStyle w:val="0"/>
        <w:rPr>
          <w:rFonts w:ascii="Arial" w:hAnsi="Arial"/>
          <w:b/>
          <w:color w:val="0000ff"/>
          <w:sz w:val="22"/>
          <w:u w:val="single" w:color="0000ff"/>
          <w:shd w:val="clear" w:color="000000" w:fill="ffffff"/>
        </w:rPr>
        <w:widowControl w:val="off"/>
      </w:pPr>
      <w:r>
        <w:rPr>
          <w:rFonts w:ascii="Arial" w:hAnsi="Arial"/>
          <w:b/>
          <w:color w:val="0000ff"/>
          <w:sz w:val="22"/>
          <w:u w:val="single" w:color="0000ff"/>
          <w:shd w:val="clear" w:color="000000" w:fill="ffffff"/>
        </w:rPr>
        <w:t>(6) 재심사 기간 중 수집된 이상사례에 대한 분석·평가 결과</w:t>
      </w:r>
    </w:p>
    <w:p>
      <w:pPr>
        <w:pStyle w:val="14"/>
        <w:rPr>
          <w:rFonts w:ascii="Arial" w:hAnsi="Arial"/>
          <w:color w:val="0000ff"/>
          <w:sz w:val="22"/>
          <w:u w:val="single" w:color="0000ff"/>
        </w:rPr>
        <w:widowControl w:val="off"/>
      </w:pPr>
      <w:r>
        <w:rPr>
          <w:rFonts w:ascii="Arial" w:hAnsi="Arial"/>
          <w:color w:val="0000ff"/>
          <w:sz w:val="22"/>
          <w:u w:val="single" w:color="0000ff"/>
        </w:rPr>
        <w:t>프리베나13주에 대한 국내 재심사 이상사례 및 자발적 부작용 보고 자료를 국내 시판 허가된 모든 의약품을 대상으로 보고된 이상사례 보고자료(1989-2016.10)와 재심사 종료시점에서 통합 평가한 결과, 다른 모든 의약품에서 보고된 이상사례에 비해 이 약에서 통계적으로 유의하게 많이 보고된 이상사례 중 새로 확인된 것들은 다음과 같다. 다만, 이 결과가 해당성분과 다음의 이상사례 간에 인과관계가 입증된 것을 의미하는 것은 아니다.</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호흡기계: 인두염, 비염</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전신 및 투여 부위 이상: 연조직염</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소화기계: 위장염, 소장염</w:t>
      </w:r>
    </w:p>
    <w:p>
      <w:pPr>
        <w:pStyle w:val="0"/>
        <w:rPr>
          <w:rFonts w:ascii="Arial" w:hAnsi="Arial"/>
          <w:color w:val="0000ff"/>
          <w:sz w:val="22"/>
          <w:u w:val="single" w:color="0000ff"/>
          <w:shd w:val="clear" w:color="000000" w:fill="ffffff"/>
        </w:rPr>
        <w:widowControl w:val="off"/>
      </w:pPr>
      <w:r>
        <w:rPr>
          <w:rFonts w:ascii="Arial" w:hAnsi="Arial"/>
          <w:color w:val="0000ff"/>
          <w:sz w:val="22"/>
          <w:u w:val="single" w:color="0000ff"/>
          <w:shd w:val="clear" w:color="000000" w:fill="ffffff"/>
        </w:rPr>
        <w:t> 신경계: 마비</w:t>
      </w:r>
    </w:p>
    <w:p>
      <w:pPr>
        <w:pStyle w:val="14"/>
        <w:rPr>
          <w:rFonts w:ascii="Arial" w:hAnsi="Arial" w:eastAsia="바탕"/>
          <w:b/>
          <w:color w:val="000000"/>
          <w:sz w:val="22"/>
        </w:rPr>
        <w:widowControl w:val="off"/>
      </w:pPr>
    </w:p>
    <w:p>
      <w:pPr>
        <w:pStyle w:val="14"/>
        <w:rPr>
          <w:rFonts w:ascii="Arial" w:hAnsi="Arial" w:eastAsia="바탕"/>
          <w:b/>
          <w:color w:val="000000"/>
          <w:sz w:val="22"/>
        </w:rPr>
        <w:widowControl w:val="off"/>
      </w:pPr>
      <w:r>
        <w:rPr>
          <w:rFonts w:ascii="Arial" w:hAnsi="Arial" w:eastAsia="바탕"/>
          <w:b/>
          <w:color w:val="000000"/>
          <w:sz w:val="22"/>
        </w:rPr>
        <w:t>3. 일반적 주의</w:t>
      </w:r>
    </w:p>
    <w:p>
      <w:pPr>
        <w:pStyle w:val="14"/>
        <w:rPr>
          <w:rFonts w:ascii="Arial" w:hAnsi="Arial" w:eastAsia="바탕"/>
          <w:color w:val="000000"/>
          <w:sz w:val="22"/>
        </w:rPr>
        <w:widowControl w:val="off"/>
      </w:pPr>
      <w:r>
        <w:rPr>
          <w:rFonts w:ascii="Arial" w:hAnsi="Arial" w:eastAsia="바탕"/>
          <w:color w:val="000000"/>
          <w:sz w:val="22"/>
        </w:rPr>
        <w:t>1) 일반적 주의</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1) 모든 주사용 백신과 마찬가지로, 백신 투여 후 드물게 발생하는 아나필락시성 반응에 대비하여 적절한 의학적 처치 및 관리가 항상 가능해야 한다.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 xml:space="preserve">2) 투여에 대한 잠재적인 유익성이 위험성을 명백히 상회하지 않는다면 근육주사가 금기되어 있는 혈소판 감소증 또는 기타 혈액응고 장애가 있거나 항응고 요법을 받고 있는 영아, 어린이 및 성인에게 이 백신을 투여해서는 안 된다. </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 xml:space="preserve">3) 이 약은 이 약에 포함된 폐렴구균 혈청형에 대해서만 예방효과가 있으며, 다른 미생물에 의한 침습성 질환, </w:t>
      </w:r>
      <w:r>
        <w:rPr>
          <w:rFonts w:ascii="Arial" w:hAnsi="Arial"/>
          <w:color w:val="000000"/>
          <w:sz w:val="22"/>
          <w:shd w:val="clear" w:color="000000" w:fill="ffffff"/>
        </w:rPr>
        <w:t xml:space="preserve">폐렴, </w:t>
      </w:r>
      <w:r>
        <w:rPr>
          <w:rFonts w:ascii="Arial" w:hAnsi="Arial"/>
          <w:color w:val="000000"/>
          <w:sz w:val="22"/>
          <w:shd w:val="clear" w:color="000000" w:fill="ffffff"/>
        </w:rPr>
        <w:t xml:space="preserve">중이염은 예방하지 않는다. 다른 백신과 마찬가지로, 이 약은 이 약을 투여받은 환자에 대해 </w:t>
      </w:r>
      <w:r>
        <w:rPr>
          <w:rFonts w:ascii="Arial" w:hAnsi="Arial"/>
          <w:color w:val="000000"/>
          <w:sz w:val="22"/>
          <w:shd w:val="clear" w:color="000000" w:fill="ffffff"/>
        </w:rPr>
        <w:t>폐렴구균에 의한 질환으로부터</w:t>
      </w:r>
      <w:r>
        <w:rPr>
          <w:rFonts w:ascii="Arial" w:hAnsi="Arial"/>
          <w:color w:val="000000"/>
          <w:sz w:val="22"/>
          <w:shd w:val="clear" w:color="000000" w:fill="ffffff"/>
        </w:rPr>
        <w:t xml:space="preserve"> 100% 예방하지 않을 수도 있다. </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4) 면역억제요법을 받고 있거나 유전적 결함, HIV감염, 기타 요인으로 인해 면역 반응이 손상된 사람의 경우 능동</w:t>
      </w:r>
      <w:r>
        <w:rPr>
          <w:rFonts w:ascii="Arial" w:hAnsi="Arial"/>
          <w:color w:val="000000"/>
          <w:sz w:val="22"/>
          <w:shd w:val="clear" w:color="000000" w:fill="ffffff"/>
        </w:rPr>
        <w:t xml:space="preserve">면역에 있어 항체반응이 감소될 수 있다. </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5)</w:t>
      </w:r>
      <w:r>
        <w:rPr>
          <w:rFonts w:ascii="Arial" w:hAnsi="Arial" w:eastAsia="바탕체"/>
          <w:color w:val="000000"/>
          <w:sz w:val="22"/>
          <w:shd w:val="clear" w:color="000000" w:fill="ffffff"/>
        </w:rPr>
        <w:t xml:space="preserve"> 겸상적혈구 질환, HIV감염 또는 조혈모세포이식 환자에 대한 안전성 및 면역원성 자료는 제한적이다. 이외의 다른 면역기능이 손상된 사람(예</w:t>
      </w:r>
      <w:r>
        <w:rPr>
          <w:rFonts w:ascii="Arial" w:hAnsi="Arial" w:eastAsia="바탕체"/>
          <w:color w:val="000000"/>
          <w:sz w:val="22"/>
          <w:shd w:val="clear" w:color="000000" w:fill="ffffff"/>
        </w:rPr>
        <w:t xml:space="preserve">를 들면 </w:t>
      </w:r>
      <w:r>
        <w:rPr>
          <w:rFonts w:ascii="Arial" w:hAnsi="Arial"/>
          <w:color w:val="000000"/>
          <w:sz w:val="22"/>
          <w:shd w:val="clear" w:color="000000" w:fill="ffffff"/>
        </w:rPr>
        <w:t xml:space="preserve">악성종양, 신증후군)에 대한 이 약의 안전성 및 면역원성 자료는 아직 없으며, 이들에 대한 백신접종은 개개인에 대하여 신중히 고려해야 한다. </w:t>
      </w:r>
    </w:p>
    <w:p>
      <w:pPr>
        <w:pStyle w:val="14"/>
        <w:rPr>
          <w:rFonts w:ascii="Arial" w:hAnsi="Arial" w:eastAsia="바탕"/>
          <w:color w:val="000000"/>
          <w:sz w:val="22"/>
        </w:rPr>
        <w:widowControl w:val="off"/>
        <w:spacing w:line="360" w:lineRule="auto"/>
      </w:pPr>
    </w:p>
    <w:p>
      <w:pPr>
        <w:pStyle w:val="14"/>
        <w:rPr>
          <w:rFonts w:ascii="Arial" w:hAnsi="Arial" w:eastAsia="바탕"/>
          <w:color w:val="000000"/>
          <w:sz w:val="22"/>
        </w:rPr>
        <w:widowControl w:val="off"/>
      </w:pPr>
      <w:r>
        <w:rPr>
          <w:rFonts w:ascii="Arial" w:hAnsi="Arial"/>
          <w:color w:val="000000"/>
          <w:sz w:val="22"/>
        </w:rPr>
        <w:t xml:space="preserve">2) </w:t>
      </w:r>
      <w:r>
        <w:rPr>
          <w:rFonts w:ascii="Arial" w:hAnsi="Arial" w:eastAsia="바탕"/>
          <w:color w:val="000000"/>
          <w:sz w:val="22"/>
        </w:rPr>
        <w:t>생후 6주 이상부터 만 5세(72개월 미만)까지의 영아 및 어린이</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1) 임상시험결과, 이 약은 이 약에 포함된 13개 혈청형 모두에 대한 면역반응을 유도하였다. 추가접종 이후 혈청형 3에 대한 면역반응은 기초접종 때 보여진 정도보다 높지 않았다. 이러한 결과와 혈청형 3의 면역 기억 유도에 대한 임상적 관련성은 알려진 바 없다.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 xml:space="preserve">2) </w:t>
      </w:r>
      <w:r>
        <w:rPr>
          <w:rFonts w:ascii="Arial" w:hAnsi="Arial"/>
          <w:color w:val="000000"/>
          <w:shd w:val="clear" w:color="000000" w:fill="ffffff"/>
        </w:rPr>
        <w:t xml:space="preserve"> </w:t>
      </w:r>
      <w:r>
        <w:rPr>
          <w:rFonts w:ascii="Arial" w:hAnsi="Arial"/>
          <w:color w:val="000000"/>
          <w:sz w:val="22"/>
          <w:shd w:val="clear" w:color="000000" w:fill="ffffff"/>
        </w:rPr>
        <w:t xml:space="preserve">혈청형 1, 3, 5에 대한 기능적 항체 반응자 비율 (OPA titer </w:t>
      </w:r>
      <w:r>
        <w:rPr>
          <w:color w:val="000000"/>
          <w:sz w:val="22"/>
          <w:shd w:val="clear" w:color="000000" w:fill="ffffff"/>
        </w:rPr>
        <w:t>≥</w:t>
      </w:r>
      <w:r>
        <w:rPr>
          <w:rFonts w:ascii="Arial" w:hAnsi="Arial"/>
          <w:color w:val="000000"/>
          <w:sz w:val="22"/>
          <w:shd w:val="clear" w:color="000000" w:fill="ffffff"/>
        </w:rPr>
        <w:t>1:8)은 높았다. 그러나 OPA 기하평균 titer는 추가된 나머지 백신혈청형에 비해 낮았다. 이러한 결과와 예방효과에 대한 임상적 관련성은 알려진 바 없다.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 xml:space="preserve">3) 겸상 적혈구 질환을 가진 소아에게 프리베나 투여 시, 인정할만한 면역반응을 유도한다는 것이 제한적으로 입증되었으며, 안전성 프로파일은 건강한 소아에서 관찰된 것과 유사하였다. </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 xml:space="preserve">4) </w:t>
      </w:r>
      <w:r>
        <w:rPr>
          <w:rFonts w:ascii="Arial" w:hAnsi="Arial"/>
          <w:color w:val="000000"/>
          <w:shd w:val="clear" w:color="000000" w:fill="ffffff"/>
        </w:rPr>
        <w:t>2</w:t>
      </w:r>
      <w:r>
        <w:rPr>
          <w:rFonts w:ascii="Arial" w:hAnsi="Arial"/>
          <w:color w:val="000000"/>
          <w:sz w:val="22"/>
          <w:shd w:val="clear" w:color="000000" w:fill="ffffff"/>
        </w:rPr>
        <w:t>세 미만의 영아 및 어린이는 나이에 적합한 접종 일정에 따라 이 약을 투여하도록 한다. 겸상적혈구질환, 무비증, HIV감염, 만성질환 또는 면역손상으로 폐렴 구균에 의한 침습성 질환에 고위험군인 생후 24개월 이상 소아에서, 폐렴구균접합백신으로 23가 폐렴구균 폴리사카라이드 백신의 사용을 대체할 수는 없다. 이전에 이 약을 접종받은 고위험의 생후 24개월 이상의 소아는 필요할 때마다 23가 폐렴구균 폴리사카라이드 백신을 투여하여야 한다. 이 약과 23가 폐렴구균 폴리사카라이드 백신의 투여간격은 8주 이상이어야 한다. 이전에 이 약을 접종받지 않은 어린이 또는 이 약을 접종받은 어린이에 대한 23가 폐렴구균 폴리사카라이드 백신의 투여가, 이 약의 추후 접종에 대한 저반응성을 가져올 수도 있다는 것을 보여주는 자료는 없다.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5) 극미숙아(</w:t>
      </w:r>
      <w:r>
        <w:rPr>
          <w:color w:val="000000"/>
          <w:sz w:val="22"/>
          <w:shd w:val="clear" w:color="000000" w:fill="ffffff"/>
        </w:rPr>
        <w:t>임신</w:t>
      </w:r>
      <w:r>
        <w:rPr>
          <w:rFonts w:ascii="Arial" w:hAnsi="Arial"/>
          <w:color w:val="000000"/>
          <w:sz w:val="22"/>
          <w:shd w:val="clear" w:color="000000" w:fill="ffffff"/>
        </w:rPr>
        <w:t>기간이 28주 이하), 특히 이전에 호흡 부전의 병력이 있는 극미숙아에 대한 기초 접종시, 무호흡이 나타날 위험성이 있으므로, 48~72시간 동안의 호흡 모니터링을 고려해야 한다. 극미숙아의 백신 접종에 대한 유익성이 크므로 백신 접종을 중단 또는 연기해서는 안 된다.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6) 백신 혈청형에 의한 중이염 예방효과는 침습성 질환에 대한 예방효과보다는 실질적으로 낮을 것으로 예상된다. 또한 중이염은 이약에 포함되어있는 폐렴구균혈청형이 아닌 다른 많은 미생물에 의해 발생될 수 있기 때문에, 모든 중이염에 대한 예방효과는 낮을 것으로 예상된다.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w:t>
      </w:r>
      <w:r>
        <w:rPr>
          <w:rFonts w:ascii="Arial" w:hAnsi="Arial"/>
          <w:color w:val="000000"/>
          <w:sz w:val="22"/>
          <w:shd w:val="clear" w:color="000000" w:fill="ffffff"/>
        </w:rPr>
        <w:t>7) 발작 장애 또는 열성 발작의 병력이 있는 소아 및 백일해 백신(whole cell)과 함께 이 약을 동시에 투여 받는 모든 소아에게 해열제 치료를 시작해야 한다.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color w:val="000000"/>
          <w:sz w:val="22"/>
        </w:rPr>
        <w:widowControl w:val="off"/>
      </w:pPr>
      <w:r>
        <w:rPr>
          <w:rFonts w:ascii="Arial" w:hAnsi="Arial"/>
          <w:color w:val="000000"/>
          <w:sz w:val="22"/>
        </w:rPr>
        <w:t xml:space="preserve">3) </w:t>
      </w:r>
      <w:r>
        <w:rPr>
          <w:rFonts w:ascii="Arial" w:hAnsi="Arial" w:eastAsia="바탕"/>
          <w:color w:val="000000"/>
          <w:sz w:val="22"/>
        </w:rPr>
        <w:t>만 6세 이상부터 만 17세까지의 어린이 및 청소년</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만 6~17세까지의 어린이 및 청소년에서 폐렴구균질환 발현율은 낮으나, 기저 동반이환을 가진 경우 이환율 및 사망률이 증가된다. 592명의 어린이 및 청소년을 대상으로 한 공개시험에서, 페렴구균감염에 걸리기 쉬운 천식을 동반한 사람은 17.4%가 포함되어 있었으며, 이 약은 이 약에 포함된 13개 혈청형 모두에 대한 면역반응을 유도하였다.</w:t>
      </w:r>
    </w:p>
    <w:p>
      <w:pPr>
        <w:pStyle w:val="14"/>
        <w:rPr>
          <w:rFonts w:ascii="Arial" w:hAnsi="Arial" w:eastAsia="바탕"/>
          <w:color w:val="000000"/>
          <w:sz w:val="22"/>
        </w:rPr>
        <w:widowControl w:val="off"/>
      </w:pPr>
      <w:r>
        <w:rPr>
          <w:rFonts w:ascii="Arial" w:hAnsi="Arial"/>
          <w:color w:val="000000"/>
          <w:sz w:val="22"/>
        </w:rPr>
        <w:t xml:space="preserve"> </w:t>
      </w:r>
    </w:p>
    <w:p>
      <w:pPr>
        <w:pStyle w:val="0"/>
        <w:rPr>
          <w:rFonts w:ascii="Times New Roman" w:hAnsi="Times New Roman"/>
          <w:color w:val="000000"/>
          <w:sz w:val="22"/>
          <w:shd w:val="clear" w:color="000000" w:fill="ffffff"/>
        </w:rPr>
        <w:widowControl w:val="off"/>
        <w:spacing w:line="320" w:lineRule="exact"/>
      </w:pPr>
      <w:r>
        <w:rPr>
          <w:rFonts w:ascii="Times New Roman" w:hAnsi="Times New Roman"/>
          <w:color w:val="000000"/>
          <w:sz w:val="22"/>
          <w:shd w:val="clear" w:color="000000" w:fill="ffffff"/>
        </w:rPr>
        <w:t>4) 특수환자집단</w:t>
      </w:r>
    </w:p>
    <w:p>
      <w:pPr>
        <w:pStyle w:val="14"/>
        <w:rPr>
          <w:color w:val="000000"/>
          <w:sz w:val="22"/>
        </w:rPr>
        <w:widowControl w:val="off"/>
        <w:spacing w:line="320" w:lineRule="exact"/>
        <w:ind w:left="10" w:hanging="10"/>
      </w:pPr>
      <w:r>
        <w:rPr>
          <w:color w:val="000000"/>
          <w:sz w:val="22"/>
        </w:rPr>
        <w:t>(1) 미숙아</w:t>
      </w:r>
    </w:p>
    <w:p>
      <w:pPr>
        <w:pStyle w:val="14"/>
        <w:rPr>
          <w:color w:val="000000"/>
          <w:sz w:val="22"/>
        </w:rPr>
        <w:widowControl w:val="off"/>
        <w:spacing w:line="320" w:lineRule="exact"/>
        <w:ind w:left="10" w:hanging="10"/>
      </w:pPr>
      <w:r>
        <w:rPr>
          <w:color w:val="000000"/>
          <w:sz w:val="22"/>
        </w:rPr>
        <w:t>생후</w:t>
      </w:r>
      <w:r>
        <w:rPr>
          <w:color w:val="000000"/>
          <w:sz w:val="22"/>
        </w:rPr>
        <w:t xml:space="preserve"> 2, 4, 6개월의 기초접종 스케줄로 미숙아에 대한 면역반응을 평가하는 임상시험은 수행되지 않았다. </w:t>
      </w:r>
    </w:p>
    <w:p>
      <w:pPr>
        <w:pStyle w:val="14"/>
        <w:rPr>
          <w:color w:val="000000"/>
          <w:sz w:val="22"/>
        </w:rPr>
        <w:widowControl w:val="off"/>
        <w:spacing w:line="320" w:lineRule="exact"/>
        <w:ind w:left="10" w:hanging="10"/>
      </w:pPr>
      <w:r>
        <w:rPr>
          <w:color w:val="000000"/>
          <w:sz w:val="22"/>
        </w:rPr>
        <w:t>생후</w:t>
      </w:r>
      <w:r>
        <w:rPr>
          <w:color w:val="000000"/>
          <w:sz w:val="22"/>
        </w:rPr>
        <w:t xml:space="preserve"> 2, 3, 4 개월 (기초접종) 및 12개월 (추가접종)의 스케줄로 미숙아 (임신기간 평균 31주. 범위 26-36주) 및 만삭아 (임신기간 평균 39주, 범위 37-42주) 각각 약 100명에 대한 임상시험을 수행하였다. </w:t>
      </w:r>
      <w:r>
        <w:rPr>
          <w:color w:val="000000"/>
          <w:sz w:val="22"/>
        </w:rPr>
        <w:t>미숙아 및 만삭아에서의 면역반응은</w:t>
      </w:r>
      <w:r>
        <w:rPr>
          <w:color w:val="000000"/>
          <w:sz w:val="22"/>
        </w:rPr>
        <w:t xml:space="preserve">, 기초접종 1개월 후 폐렴구균 폴리사카라이드 IgG-결합 항체농도가 0.35 ug/ml 이상에 도달한 피험자 수로 비교하였다 (WHO 가이드라인에 따라 프리베나 13주와 프리베나(7가)의 면역원성 비교 시에 사용된 방법) </w:t>
      </w:r>
    </w:p>
    <w:p>
      <w:pPr>
        <w:pStyle w:val="14"/>
        <w:rPr>
          <w:color w:val="000000"/>
          <w:sz w:val="22"/>
        </w:rPr>
        <w:widowControl w:val="off"/>
        <w:spacing w:line="320" w:lineRule="exact"/>
        <w:ind w:left="10" w:hanging="10"/>
      </w:pPr>
    </w:p>
    <w:p>
      <w:pPr>
        <w:pStyle w:val="14"/>
        <w:rPr>
          <w:color w:val="000000"/>
          <w:sz w:val="22"/>
        </w:rPr>
        <w:widowControl w:val="off"/>
        <w:spacing w:line="320" w:lineRule="exact"/>
        <w:ind w:left="10" w:hanging="10"/>
      </w:pPr>
      <w:r>
        <w:rPr>
          <w:color w:val="000000"/>
          <w:sz w:val="22"/>
        </w:rPr>
        <w:t>혈청형 5 (71.7%), 6A (82.7%), 6B (72.7%)을 제외하면</w:t>
      </w:r>
      <w:r>
        <w:rPr>
          <w:color w:val="000000"/>
          <w:sz w:val="22"/>
        </w:rPr>
        <w:t xml:space="preserve">, </w:t>
      </w:r>
      <w:r>
        <w:rPr>
          <w:color w:val="000000"/>
          <w:sz w:val="22"/>
        </w:rPr>
        <w:t>85% 이상의 피험자가 기초접종</w:t>
      </w:r>
      <w:r>
        <w:rPr>
          <w:color w:val="000000"/>
          <w:sz w:val="22"/>
        </w:rPr>
        <w:t xml:space="preserve"> 1개월 후 각 혈청형에 대해 0.35 ug/ml 이상의 IgG 결합 항체농도에 도달하였</w:t>
      </w:r>
      <w:r>
        <w:rPr>
          <w:color w:val="000000"/>
          <w:sz w:val="22"/>
        </w:rPr>
        <w:t>다</w:t>
      </w:r>
      <w:r>
        <w:rPr>
          <w:color w:val="000000"/>
          <w:sz w:val="22"/>
        </w:rPr>
        <w:t xml:space="preserve">. </w:t>
      </w:r>
      <w:r>
        <w:rPr>
          <w:color w:val="000000"/>
          <w:sz w:val="22"/>
        </w:rPr>
        <w:t>3개 혈청형의 경우</w:t>
      </w:r>
      <w:r>
        <w:rPr>
          <w:color w:val="000000"/>
          <w:sz w:val="22"/>
        </w:rPr>
        <w:t>, 미숙아 중의 반응자 비율이 만삭아에 비해 유의하게 낮았다. 추가접종 약 1개월 후에는 혈청형 3을 제외하면, 모든 혈청형에서 위 기준에 도달한 피험자수가 97% 이상이었다. 혈청형 3의 경우, 미숙아에서 71%, 만삭아에서 79%였다. 미숙아에서 면역학적 기억이 모든 혈청형에 대해 유발되는지는 명확하지 않다.</w:t>
      </w:r>
    </w:p>
    <w:p>
      <w:pPr>
        <w:pStyle w:val="14"/>
        <w:rPr>
          <w:color w:val="000000"/>
          <w:sz w:val="22"/>
        </w:rPr>
        <w:widowControl w:val="off"/>
        <w:spacing w:line="320" w:lineRule="exact"/>
        <w:ind w:left="10" w:hanging="10"/>
      </w:pPr>
    </w:p>
    <w:p>
      <w:pPr>
        <w:pStyle w:val="14"/>
        <w:rPr>
          <w:color w:val="000000"/>
          <w:sz w:val="22"/>
        </w:rPr>
        <w:widowControl w:val="off"/>
        <w:spacing w:line="320" w:lineRule="exact"/>
        <w:ind w:left="10" w:hanging="10"/>
      </w:pPr>
      <w:r>
        <w:rPr>
          <w:color w:val="000000"/>
          <w:sz w:val="22"/>
        </w:rPr>
        <w:t>일반적으로</w:t>
      </w:r>
      <w:r>
        <w:rPr>
          <w:color w:val="000000"/>
          <w:sz w:val="22"/>
        </w:rPr>
        <w:t>, 미숙아에서의 혈청형 특이적 IgG GMC는 만삭아보다 낮았다. 기초접종 후의 OPA GMT는 미숙아와 만삭아에서 서로 유사하였으며, 혈청형 5에 대해서는 미숙아에서 더 낮았다. 추가접종 후의 OPA GMT는 기본 접종 후에 비해, 유사하거나, 4개 혈청형 (4, 14, 18C, 19F)에 대해서는 낮았다. 또한, 추가접종 후 OPA GMT는 기초접종 후에 비해, 미숙아에서는 13개 중 6개 혈청형에 대해 통계학적으로 유의하게 높았던 데 비해, 만삭아에서는 13개 중 10개 혈청형에 대해 높았다.</w:t>
      </w:r>
    </w:p>
    <w:p>
      <w:pPr>
        <w:pStyle w:val="14"/>
        <w:rPr>
          <w:color w:val="000000"/>
          <w:sz w:val="22"/>
        </w:rPr>
        <w:widowControl w:val="off"/>
        <w:spacing w:line="320" w:lineRule="exact"/>
        <w:ind w:left="10" w:hanging="10"/>
      </w:pPr>
    </w:p>
    <w:p>
      <w:pPr>
        <w:pStyle w:val="14"/>
        <w:rPr>
          <w:color w:val="000000"/>
          <w:sz w:val="22"/>
        </w:rPr>
        <w:widowControl w:val="off"/>
        <w:spacing w:line="320" w:lineRule="exact"/>
        <w:ind w:left="10" w:hanging="10"/>
      </w:pPr>
      <w:r>
        <w:rPr>
          <w:color w:val="000000"/>
          <w:sz w:val="22"/>
        </w:rPr>
        <w:t>(2) 겸상적혈구 질환이 있는 소아 및 청소년</w:t>
      </w:r>
    </w:p>
    <w:p>
      <w:pPr>
        <w:pStyle w:val="14"/>
        <w:rPr>
          <w:color w:val="000000"/>
          <w:sz w:val="22"/>
        </w:rPr>
        <w:widowControl w:val="off"/>
        <w:spacing w:line="320" w:lineRule="exact"/>
        <w:ind w:left="10" w:hanging="10"/>
      </w:pPr>
      <w:r>
        <w:rPr>
          <w:color w:val="000000"/>
          <w:sz w:val="22"/>
        </w:rPr>
        <w:t>프랑스</w:t>
      </w:r>
      <w:r>
        <w:rPr>
          <w:color w:val="000000"/>
          <w:sz w:val="22"/>
        </w:rPr>
        <w:t xml:space="preserve">, 이탈리아, 영국, 미국, 레바논, 이집트, 사우디아라비아에서 수행된 공개투여, 단일군 시험에서 이 약을 6개월 간격으로 2회 접종하였다. 6세 이상, 18세 미만의 겸상적혈구 질환 환자로, 시험참여 최소 6개월 전에 1회 이상의 23가 폐렴구균 폴리사카라이드 백신을 접종받았던 소아 및 청소년을 대상으로 하였다. </w:t>
      </w:r>
    </w:p>
    <w:p>
      <w:pPr>
        <w:pStyle w:val="14"/>
        <w:rPr>
          <w:rFonts w:ascii="Arial" w:hAnsi="Arial"/>
          <w:color w:val="000000"/>
          <w:sz w:val="22"/>
        </w:rPr>
        <w:widowControl w:val="off"/>
        <w:spacing w:line="320" w:lineRule="exact"/>
        <w:ind w:left="10" w:hanging="10"/>
      </w:pPr>
      <w:r>
        <w:rPr>
          <w:color w:val="000000"/>
          <w:sz w:val="22"/>
        </w:rPr>
        <w:t xml:space="preserve">첫 백신 접종 후, 이 약은 항체 반응을 유도하였으며 (IgG GMC 및 OPA GMT로 측정), 백신접종 이전과 비교 시 통계학적으로 유의하게 더 높았다. 두 번째 접종 후의 면역 반응은 첫 접종 이후와 유사하였다. </w:t>
      </w:r>
      <w:r>
        <w:rPr>
          <w:rFonts w:ascii="Arial" w:hAnsi="Arial"/>
          <w:color w:val="000000"/>
          <w:sz w:val="22"/>
        </w:rPr>
        <w:t xml:space="preserve">두 번째 접종 1년 후 항체 수준은 (IgG GCM 및 </w:t>
      </w:r>
      <w:r>
        <w:rPr>
          <w:color w:val="000000"/>
        </w:rPr>
        <w:t>OPA GMT</w:t>
      </w:r>
      <w:r>
        <w:rPr>
          <w:rFonts w:ascii="Arial" w:hAnsi="Arial"/>
          <w:color w:val="000000"/>
          <w:sz w:val="22"/>
        </w:rPr>
        <w:t>로 측정) 첫접종 이전과 수치가 유사했던 혈청형 3, 5에서는 제외하면, 모두 이 약의 첫 접종 이전보다 높은 수준으로 유지되었다</w:t>
      </w:r>
    </w:p>
    <w:p>
      <w:pPr>
        <w:pStyle w:val="14"/>
        <w:rPr>
          <w:color w:val="000000"/>
          <w:sz w:val="22"/>
        </w:rPr>
        <w:widowControl w:val="off"/>
        <w:spacing w:line="320" w:lineRule="exact"/>
        <w:ind w:left="10" w:hanging="10"/>
      </w:pPr>
    </w:p>
    <w:p>
      <w:pPr>
        <w:pStyle w:val="14"/>
        <w:rPr>
          <w:color w:val="000000"/>
          <w:sz w:val="22"/>
        </w:rPr>
        <w:widowControl w:val="off"/>
        <w:spacing w:line="320" w:lineRule="exact"/>
        <w:ind w:left="10" w:hanging="10"/>
      </w:pPr>
      <w:r>
        <w:rPr>
          <w:color w:val="000000"/>
          <w:sz w:val="22"/>
        </w:rPr>
        <w:t>(3) HIV 감염 성인환자</w:t>
      </w:r>
      <w:r>
        <w:rPr>
          <w:color w:val="000000"/>
          <w:sz w:val="22"/>
        </w:rPr>
        <w:t xml:space="preserve"> </w:t>
      </w:r>
    </w:p>
    <w:p>
      <w:pPr>
        <w:pStyle w:val="14"/>
        <w:rPr>
          <w:color w:val="000000"/>
          <w:sz w:val="22"/>
        </w:rPr>
        <w:widowControl w:val="off"/>
        <w:spacing w:line="320" w:lineRule="exact"/>
        <w:ind w:left="10" w:hanging="10"/>
      </w:pPr>
      <w:r>
        <w:rPr>
          <w:color w:val="000000"/>
          <w:sz w:val="22"/>
        </w:rPr>
        <w:t>18세 이상의</w:t>
      </w:r>
      <w:r>
        <w:rPr>
          <w:color w:val="000000"/>
          <w:sz w:val="22"/>
        </w:rPr>
        <w:t xml:space="preserve"> HIV 감염 성인 (</w:t>
      </w:r>
      <w:r>
        <w:rPr>
          <w:color w:val="000000"/>
          <w:sz w:val="22"/>
        </w:rPr>
        <w:t xml:space="preserve">CD4 </w:t>
      </w:r>
      <w:r>
        <w:rPr>
          <w:color w:val="000000"/>
          <w:sz w:val="22"/>
        </w:rPr>
        <w:t>≥</w:t>
      </w:r>
      <w:r>
        <w:rPr>
          <w:color w:val="000000"/>
          <w:sz w:val="22"/>
        </w:rPr>
        <w:t>200 cells/</w:t>
      </w:r>
      <w:r>
        <w:rPr>
          <w:color w:val="000000"/>
          <w:sz w:val="22"/>
        </w:rPr>
        <w:t>μ</w:t>
      </w:r>
      <w:r>
        <w:rPr>
          <w:color w:val="000000"/>
          <w:sz w:val="22"/>
        </w:rPr>
        <w:t>L, 바이러스 부하</w:t>
      </w:r>
      <w:r>
        <w:rPr>
          <w:color w:val="000000"/>
          <w:sz w:val="22"/>
        </w:rPr>
        <w:t xml:space="preserve"> &lt;50,000 copies/mL, 활동성 AIDS 관련 증상이 없는 경우)으로서, 최소 6개월 이전에 23가 폐렴구균 폴리사카라이드 백신 접종경험이 있는 환자를 대상으로, 이 약을 3회 (임상 참여 시, 첫 회 접종 6개월 후 및 12개월 후) 접종하는 임상시험이 실시되었다.</w:t>
      </w:r>
    </w:p>
    <w:p>
      <w:pPr>
        <w:pStyle w:val="14"/>
        <w:rPr>
          <w:color w:val="000000"/>
          <w:sz w:val="22"/>
        </w:rPr>
        <w:widowControl w:val="off"/>
        <w:spacing w:line="320" w:lineRule="exact"/>
        <w:ind w:left="10" w:hanging="10"/>
      </w:pPr>
    </w:p>
    <w:p>
      <w:pPr>
        <w:pStyle w:val="14"/>
        <w:rPr>
          <w:color w:val="000000"/>
          <w:sz w:val="22"/>
        </w:rPr>
        <w:widowControl w:val="off"/>
        <w:spacing w:line="320" w:lineRule="exact"/>
        <w:ind w:left="10" w:hanging="10"/>
      </w:pPr>
      <w:r>
        <w:rPr>
          <w:color w:val="000000"/>
          <w:sz w:val="22"/>
        </w:rPr>
        <w:t>각 접종 약 1개월 후에 면역반응을 평가하였고, 231-255명이 평가 가능하였다. 첫 접종 후, 이 약은 항체 반응을 유도하였으며 (IgG GMC 및 OPA GMT로 측정), 백신 접종 이전과 비교 시 통계학적으로 유의하게 더 높았다. 두 번째 및 세 번째 접종 후의 면역 반응은 첫 접종 후와 유사하거나 더 높았다. 이전에 23가 폐렴구균 폴리사카라이드 백신 접종경험이 있는 환자는 1회인 경우가 162명, 2회인 경우 143명, 2회 초과인 경우 26명이었다. 2회 이상 23가 폐렴구균 폴리사카라이드 백신 접종경험이 있는 환자에서도, 1회 접종경험이 있는 환자와 비교 시 유사한 면역 반응을 나타내었다.</w:t>
      </w:r>
    </w:p>
    <w:p>
      <w:pPr>
        <w:pStyle w:val="14"/>
        <w:rPr>
          <w:color w:val="000000"/>
          <w:sz w:val="22"/>
        </w:rPr>
        <w:widowControl w:val="off"/>
        <w:spacing w:line="320" w:lineRule="exact"/>
        <w:ind w:left="10" w:hanging="10"/>
      </w:pPr>
    </w:p>
    <w:p>
      <w:pPr>
        <w:pStyle w:val="14"/>
        <w:rPr>
          <w:rFonts w:ascii="Arial" w:hAnsi="Arial"/>
          <w:color w:val="000000"/>
          <w:sz w:val="22"/>
        </w:rPr>
        <w:widowControl w:val="off"/>
        <w:spacing w:line="360" w:lineRule="auto"/>
      </w:pPr>
      <w:r>
        <w:rPr>
          <w:color w:val="000000"/>
        </w:rPr>
        <w:t xml:space="preserve">(4)  </w:t>
      </w:r>
      <w:r>
        <w:rPr>
          <w:rFonts w:ascii="Arial" w:hAnsi="Arial"/>
          <w:color w:val="000000"/>
          <w:sz w:val="22"/>
        </w:rPr>
        <w:t>HIV 감염 소아 및 성인환자 (이전 폐렴구균 백신 투여 경험이 없는 경우)</w:t>
      </w:r>
    </w:p>
    <w:p>
      <w:pPr>
        <w:pStyle w:val="14"/>
        <w:rPr>
          <w:rFonts w:ascii="Arial" w:hAnsi="Arial"/>
          <w:color w:val="000000"/>
          <w:sz w:val="22"/>
        </w:rPr>
        <w:widowControl w:val="off"/>
        <w:spacing w:line="360" w:lineRule="auto"/>
      </w:pPr>
      <w:r>
        <w:rPr>
          <w:rFonts w:ascii="Arial" w:hAnsi="Arial"/>
          <w:color w:val="000000"/>
          <w:sz w:val="22"/>
        </w:rPr>
        <w:t xml:space="preserve">HIV 감염 소아 및 성인 (CD4 </w:t>
      </w:r>
      <w:r>
        <w:rPr>
          <w:color w:val="000000"/>
          <w:sz w:val="22"/>
        </w:rPr>
        <w:t>≥</w:t>
      </w:r>
      <w:r>
        <w:rPr>
          <w:rFonts w:ascii="Arial" w:hAnsi="Arial"/>
          <w:color w:val="000000"/>
          <w:sz w:val="22"/>
        </w:rPr>
        <w:t>200 cells/</w:t>
      </w:r>
      <w:r>
        <w:rPr>
          <w:color w:val="000000"/>
          <w:sz w:val="22"/>
        </w:rPr>
        <w:t>μ</w:t>
      </w:r>
      <w:r>
        <w:rPr>
          <w:rFonts w:ascii="Arial" w:hAnsi="Arial"/>
          <w:color w:val="000000"/>
          <w:sz w:val="22"/>
        </w:rPr>
        <w:t>L, 바이러스 부하 &lt;50,000 copies/mL, 활동성 AIDS 관련 증상이 없는 경우</w:t>
      </w:r>
      <w:r>
        <w:rPr>
          <w:rFonts w:ascii="바탕" w:hAnsi="바탕"/>
          <w:color w:val="000000"/>
          <w:sz w:val="22"/>
        </w:rPr>
        <w:t xml:space="preserve">, </w:t>
      </w:r>
      <w:r>
        <w:rPr>
          <w:color w:val="000000"/>
          <w:sz w:val="22"/>
        </w:rPr>
        <w:t>이전에</w:t>
      </w:r>
      <w:r>
        <w:rPr>
          <w:rFonts w:ascii="바탕" w:hAnsi="바탕"/>
          <w:color w:val="000000"/>
          <w:sz w:val="22"/>
        </w:rPr>
        <w:t xml:space="preserve"> </w:t>
      </w:r>
      <w:r>
        <w:rPr>
          <w:color w:val="000000"/>
          <w:sz w:val="22"/>
        </w:rPr>
        <w:t>이</w:t>
      </w:r>
      <w:r>
        <w:rPr>
          <w:rFonts w:ascii="바탕" w:hAnsi="바탕"/>
          <w:color w:val="000000"/>
          <w:sz w:val="22"/>
        </w:rPr>
        <w:t xml:space="preserve"> </w:t>
      </w:r>
      <w:r>
        <w:rPr>
          <w:color w:val="000000"/>
          <w:sz w:val="22"/>
        </w:rPr>
        <w:t>약</w:t>
      </w:r>
      <w:r>
        <w:rPr>
          <w:rFonts w:ascii="바탕" w:hAnsi="바탕"/>
          <w:color w:val="000000"/>
          <w:sz w:val="22"/>
        </w:rPr>
        <w:t xml:space="preserve"> 3</w:t>
      </w:r>
      <w:r>
        <w:rPr>
          <w:color w:val="000000"/>
          <w:sz w:val="22"/>
        </w:rPr>
        <w:t>회</w:t>
      </w:r>
      <w:r>
        <w:rPr>
          <w:rFonts w:ascii="바탕" w:hAnsi="바탕"/>
          <w:color w:val="000000"/>
          <w:sz w:val="22"/>
        </w:rPr>
        <w:t xml:space="preserve"> </w:t>
      </w:r>
      <w:r>
        <w:rPr>
          <w:color w:val="000000"/>
          <w:sz w:val="22"/>
        </w:rPr>
        <w:t>접종으로</w:t>
      </w:r>
      <w:r>
        <w:rPr>
          <w:rFonts w:ascii="바탕" w:hAnsi="바탕"/>
          <w:color w:val="000000"/>
          <w:sz w:val="22"/>
        </w:rPr>
        <w:t xml:space="preserve"> </w:t>
      </w:r>
      <w:r>
        <w:rPr>
          <w:color w:val="000000"/>
          <w:sz w:val="22"/>
        </w:rPr>
        <w:t>폐렴구균</w:t>
      </w:r>
      <w:r>
        <w:rPr>
          <w:rFonts w:ascii="바탕" w:hAnsi="바탕"/>
          <w:color w:val="000000"/>
          <w:sz w:val="22"/>
        </w:rPr>
        <w:t xml:space="preserve"> </w:t>
      </w:r>
      <w:r>
        <w:rPr>
          <w:color w:val="000000"/>
          <w:sz w:val="22"/>
        </w:rPr>
        <w:t>백신</w:t>
      </w:r>
      <w:r>
        <w:rPr>
          <w:rFonts w:ascii="바탕" w:hAnsi="바탕"/>
          <w:color w:val="000000"/>
          <w:sz w:val="22"/>
        </w:rPr>
        <w:t xml:space="preserve"> </w:t>
      </w:r>
      <w:r>
        <w:rPr>
          <w:color w:val="000000"/>
          <w:sz w:val="22"/>
        </w:rPr>
        <w:t>투여</w:t>
      </w:r>
      <w:r>
        <w:rPr>
          <w:rFonts w:ascii="바탕" w:hAnsi="바탕"/>
          <w:color w:val="000000"/>
          <w:sz w:val="22"/>
        </w:rPr>
        <w:t xml:space="preserve"> </w:t>
      </w:r>
      <w:r>
        <w:rPr>
          <w:color w:val="000000"/>
          <w:sz w:val="22"/>
        </w:rPr>
        <w:t>경험이</w:t>
      </w:r>
      <w:r>
        <w:rPr>
          <w:rFonts w:ascii="바탕" w:hAnsi="바탕"/>
          <w:color w:val="000000"/>
          <w:sz w:val="22"/>
        </w:rPr>
        <w:t xml:space="preserve"> </w:t>
      </w:r>
      <w:r>
        <w:rPr>
          <w:color w:val="000000"/>
          <w:sz w:val="22"/>
        </w:rPr>
        <w:t>없는</w:t>
      </w:r>
      <w:r>
        <w:rPr>
          <w:rFonts w:ascii="바탕" w:hAnsi="바탕"/>
          <w:color w:val="000000"/>
          <w:sz w:val="22"/>
        </w:rPr>
        <w:t xml:space="preserve"> </w:t>
      </w:r>
      <w:r>
        <w:rPr>
          <w:rFonts w:ascii="Arial" w:hAnsi="Arial"/>
          <w:color w:val="000000"/>
          <w:sz w:val="22"/>
        </w:rPr>
        <w:t>경우)을 대상으로 임상시험을 수행하였다. 일반적</w:t>
      </w:r>
      <w:r>
        <w:rPr>
          <w:rFonts w:ascii="바탕" w:hAnsi="바탕"/>
          <w:color w:val="000000"/>
          <w:sz w:val="22"/>
        </w:rPr>
        <w:t xml:space="preserve"> </w:t>
      </w:r>
      <w:r>
        <w:rPr>
          <w:color w:val="000000"/>
          <w:sz w:val="22"/>
        </w:rPr>
        <w:t>권고에</w:t>
      </w:r>
      <w:r>
        <w:rPr>
          <w:rFonts w:ascii="바탕" w:hAnsi="바탕"/>
          <w:color w:val="000000"/>
          <w:sz w:val="22"/>
        </w:rPr>
        <w:t xml:space="preserve"> </w:t>
      </w:r>
      <w:r>
        <w:rPr>
          <w:color w:val="000000"/>
          <w:sz w:val="22"/>
        </w:rPr>
        <w:t>따라</w:t>
      </w:r>
      <w:r>
        <w:rPr>
          <w:rFonts w:ascii="바탕" w:hAnsi="바탕"/>
          <w:color w:val="000000"/>
          <w:sz w:val="22"/>
        </w:rPr>
        <w:t xml:space="preserve">, </w:t>
      </w:r>
      <w:r>
        <w:rPr>
          <w:color w:val="000000"/>
          <w:sz w:val="22"/>
        </w:rPr>
        <w:t>이후</w:t>
      </w:r>
      <w:r>
        <w:rPr>
          <w:rFonts w:ascii="바탕" w:hAnsi="바탕"/>
          <w:color w:val="000000"/>
          <w:sz w:val="22"/>
        </w:rPr>
        <w:t xml:space="preserve"> </w:t>
      </w:r>
      <w:r>
        <w:rPr>
          <w:color w:val="000000"/>
        </w:rPr>
        <w:t>23</w:t>
      </w:r>
      <w:r>
        <w:rPr>
          <w:color w:val="000000"/>
          <w:sz w:val="22"/>
        </w:rPr>
        <w:t>가</w:t>
      </w:r>
      <w:r>
        <w:rPr>
          <w:rFonts w:ascii="바탕" w:hAnsi="바탕"/>
          <w:color w:val="000000"/>
          <w:sz w:val="22"/>
        </w:rPr>
        <w:t xml:space="preserve"> </w:t>
      </w:r>
      <w:r>
        <w:rPr>
          <w:color w:val="000000"/>
          <w:sz w:val="22"/>
        </w:rPr>
        <w:t>폐렴구균</w:t>
      </w:r>
      <w:r>
        <w:rPr>
          <w:rFonts w:ascii="바탕" w:hAnsi="바탕"/>
          <w:color w:val="000000"/>
          <w:sz w:val="22"/>
        </w:rPr>
        <w:t xml:space="preserve"> </w:t>
      </w:r>
      <w:r>
        <w:rPr>
          <w:color w:val="000000"/>
          <w:sz w:val="22"/>
        </w:rPr>
        <w:t>폴리사카라이드</w:t>
      </w:r>
      <w:r>
        <w:rPr>
          <w:rFonts w:ascii="바탕" w:hAnsi="바탕"/>
          <w:color w:val="000000"/>
          <w:sz w:val="22"/>
        </w:rPr>
        <w:t xml:space="preserve"> </w:t>
      </w:r>
      <w:r>
        <w:rPr>
          <w:color w:val="000000"/>
          <w:sz w:val="22"/>
        </w:rPr>
        <w:t>백신이</w:t>
      </w:r>
      <w:r>
        <w:rPr>
          <w:rFonts w:ascii="바탕" w:hAnsi="바탕"/>
          <w:color w:val="000000"/>
          <w:sz w:val="22"/>
        </w:rPr>
        <w:t xml:space="preserve"> 1</w:t>
      </w:r>
      <w:r>
        <w:rPr>
          <w:color w:val="000000"/>
          <w:sz w:val="22"/>
        </w:rPr>
        <w:t>회</w:t>
      </w:r>
      <w:r>
        <w:rPr>
          <w:rFonts w:ascii="바탕" w:hAnsi="바탕"/>
          <w:color w:val="000000"/>
          <w:sz w:val="22"/>
        </w:rPr>
        <w:t xml:space="preserve"> </w:t>
      </w:r>
      <w:r>
        <w:rPr>
          <w:color w:val="000000"/>
          <w:sz w:val="22"/>
        </w:rPr>
        <w:t>접종되었다</w:t>
      </w:r>
      <w:r>
        <w:rPr>
          <w:rFonts w:ascii="바탕" w:hAnsi="바탕"/>
          <w:color w:val="000000"/>
          <w:sz w:val="22"/>
        </w:rPr>
        <w:t xml:space="preserve">. </w:t>
      </w:r>
      <w:r>
        <w:rPr>
          <w:color w:val="000000"/>
          <w:sz w:val="22"/>
        </w:rPr>
        <w:t>이</w:t>
      </w:r>
      <w:r>
        <w:rPr>
          <w:rFonts w:ascii="바탕" w:hAnsi="바탕"/>
          <w:color w:val="000000"/>
          <w:sz w:val="22"/>
        </w:rPr>
        <w:t xml:space="preserve"> </w:t>
      </w:r>
      <w:r>
        <w:rPr>
          <w:color w:val="000000"/>
          <w:sz w:val="22"/>
        </w:rPr>
        <w:t>약은</w:t>
      </w:r>
      <w:r>
        <w:rPr>
          <w:rFonts w:ascii="바탕" w:hAnsi="바탕"/>
          <w:color w:val="000000"/>
          <w:sz w:val="22"/>
        </w:rPr>
        <w:t xml:space="preserve"> </w:t>
      </w:r>
      <w:r>
        <w:rPr>
          <w:color w:val="000000"/>
        </w:rPr>
        <w:t>1</w:t>
      </w:r>
      <w:r>
        <w:rPr>
          <w:color w:val="000000"/>
          <w:sz w:val="22"/>
        </w:rPr>
        <w:t>개월</w:t>
      </w:r>
      <w:r>
        <w:rPr>
          <w:rFonts w:ascii="바탕" w:hAnsi="바탕"/>
          <w:color w:val="000000"/>
          <w:sz w:val="22"/>
        </w:rPr>
        <w:t xml:space="preserve"> </w:t>
      </w:r>
      <w:r>
        <w:rPr>
          <w:color w:val="000000"/>
          <w:sz w:val="22"/>
        </w:rPr>
        <w:t>간격으로</w:t>
      </w:r>
      <w:r>
        <w:rPr>
          <w:rFonts w:ascii="바탕" w:hAnsi="바탕"/>
          <w:color w:val="000000"/>
          <w:sz w:val="22"/>
        </w:rPr>
        <w:t xml:space="preserve"> </w:t>
      </w:r>
      <w:r>
        <w:rPr>
          <w:color w:val="000000"/>
          <w:sz w:val="22"/>
        </w:rPr>
        <w:t>접종하였다</w:t>
      </w:r>
      <w:r>
        <w:rPr>
          <w:rFonts w:ascii="바탕" w:hAnsi="바탕"/>
          <w:color w:val="000000"/>
          <w:sz w:val="22"/>
        </w:rPr>
        <w:t xml:space="preserve">. </w:t>
      </w:r>
      <w:r>
        <w:rPr>
          <w:color w:val="000000"/>
          <w:sz w:val="22"/>
        </w:rPr>
        <w:t>면역반응은</w:t>
      </w:r>
      <w:r>
        <w:rPr>
          <w:rFonts w:ascii="바탕" w:hAnsi="바탕"/>
          <w:color w:val="000000"/>
          <w:sz w:val="22"/>
        </w:rPr>
        <w:t xml:space="preserve"> </w:t>
      </w:r>
      <w:r>
        <w:rPr>
          <w:color w:val="000000"/>
          <w:sz w:val="22"/>
        </w:rPr>
        <w:t>각</w:t>
      </w:r>
      <w:r>
        <w:rPr>
          <w:rFonts w:ascii="바탕" w:hAnsi="바탕"/>
          <w:color w:val="000000"/>
          <w:sz w:val="22"/>
        </w:rPr>
        <w:t xml:space="preserve"> </w:t>
      </w:r>
      <w:r>
        <w:rPr>
          <w:color w:val="000000"/>
          <w:sz w:val="22"/>
        </w:rPr>
        <w:t>백신접종</w:t>
      </w:r>
      <w:r>
        <w:rPr>
          <w:rFonts w:ascii="바탕" w:hAnsi="바탕"/>
          <w:color w:val="000000"/>
          <w:sz w:val="22"/>
        </w:rPr>
        <w:t xml:space="preserve"> </w:t>
      </w:r>
      <w:r>
        <w:rPr>
          <w:color w:val="000000"/>
          <w:sz w:val="22"/>
        </w:rPr>
        <w:t>약</w:t>
      </w:r>
      <w:r>
        <w:rPr>
          <w:rFonts w:ascii="바탕" w:hAnsi="바탕"/>
          <w:color w:val="000000"/>
          <w:sz w:val="22"/>
        </w:rPr>
        <w:t xml:space="preserve"> 1</w:t>
      </w:r>
      <w:r>
        <w:rPr>
          <w:color w:val="000000"/>
          <w:sz w:val="22"/>
        </w:rPr>
        <w:t>개월</w:t>
      </w:r>
      <w:r>
        <w:rPr>
          <w:rFonts w:ascii="바탕" w:hAnsi="바탕"/>
          <w:color w:val="000000"/>
          <w:sz w:val="22"/>
        </w:rPr>
        <w:t xml:space="preserve"> </w:t>
      </w:r>
      <w:r>
        <w:rPr>
          <w:color w:val="000000"/>
          <w:sz w:val="22"/>
        </w:rPr>
        <w:t>후에</w:t>
      </w:r>
      <w:r>
        <w:rPr>
          <w:rFonts w:ascii="바탕" w:hAnsi="바탕"/>
          <w:color w:val="000000"/>
          <w:sz w:val="22"/>
        </w:rPr>
        <w:t>, 259-270</w:t>
      </w:r>
      <w:r>
        <w:rPr>
          <w:color w:val="000000"/>
          <w:sz w:val="22"/>
        </w:rPr>
        <w:t>명의</w:t>
      </w:r>
      <w:r>
        <w:rPr>
          <w:rFonts w:ascii="바탕" w:hAnsi="바탕"/>
          <w:color w:val="000000"/>
          <w:sz w:val="22"/>
        </w:rPr>
        <w:t xml:space="preserve"> </w:t>
      </w:r>
      <w:r>
        <w:rPr>
          <w:color w:val="000000"/>
          <w:sz w:val="22"/>
        </w:rPr>
        <w:t>평가가능한</w:t>
      </w:r>
      <w:r>
        <w:rPr>
          <w:rFonts w:ascii="바탕" w:hAnsi="바탕"/>
          <w:color w:val="000000"/>
          <w:sz w:val="22"/>
        </w:rPr>
        <w:t xml:space="preserve"> </w:t>
      </w:r>
      <w:r>
        <w:rPr>
          <w:color w:val="000000"/>
          <w:sz w:val="22"/>
        </w:rPr>
        <w:t>피험자에서</w:t>
      </w:r>
      <w:r>
        <w:rPr>
          <w:rFonts w:ascii="바탕" w:hAnsi="바탕"/>
          <w:color w:val="000000"/>
          <w:sz w:val="22"/>
        </w:rPr>
        <w:t xml:space="preserve"> </w:t>
      </w:r>
      <w:r>
        <w:rPr>
          <w:color w:val="000000"/>
          <w:sz w:val="22"/>
        </w:rPr>
        <w:t>평가하였다</w:t>
      </w:r>
      <w:r>
        <w:rPr>
          <w:rFonts w:ascii="바탕" w:hAnsi="바탕"/>
          <w:color w:val="000000"/>
          <w:sz w:val="22"/>
        </w:rPr>
        <w:t xml:space="preserve">. </w:t>
      </w:r>
      <w:r>
        <w:rPr>
          <w:color w:val="000000"/>
          <w:sz w:val="22"/>
        </w:rPr>
        <w:t>첫</w:t>
      </w:r>
      <w:r>
        <w:rPr>
          <w:rFonts w:ascii="바탕" w:hAnsi="바탕"/>
          <w:color w:val="000000"/>
          <w:sz w:val="22"/>
        </w:rPr>
        <w:t xml:space="preserve"> </w:t>
      </w:r>
      <w:r>
        <w:rPr>
          <w:color w:val="000000"/>
          <w:sz w:val="22"/>
        </w:rPr>
        <w:t>접종</w:t>
      </w:r>
      <w:r>
        <w:rPr>
          <w:rFonts w:ascii="바탕" w:hAnsi="바탕"/>
          <w:color w:val="000000"/>
          <w:sz w:val="22"/>
        </w:rPr>
        <w:t xml:space="preserve"> </w:t>
      </w:r>
      <w:r>
        <w:rPr>
          <w:color w:val="000000"/>
          <w:sz w:val="22"/>
        </w:rPr>
        <w:t>이후</w:t>
      </w:r>
      <w:r>
        <w:rPr>
          <w:rFonts w:ascii="바탕" w:hAnsi="바탕"/>
          <w:color w:val="000000"/>
          <w:sz w:val="22"/>
        </w:rPr>
        <w:t xml:space="preserve">, </w:t>
      </w:r>
      <w:r>
        <w:rPr>
          <w:color w:val="000000"/>
          <w:sz w:val="22"/>
        </w:rPr>
        <w:t>이</w:t>
      </w:r>
      <w:r>
        <w:rPr>
          <w:rFonts w:ascii="바탕" w:hAnsi="바탕"/>
          <w:color w:val="000000"/>
          <w:sz w:val="22"/>
        </w:rPr>
        <w:t xml:space="preserve"> </w:t>
      </w:r>
      <w:r>
        <w:rPr>
          <w:color w:val="000000"/>
          <w:sz w:val="22"/>
        </w:rPr>
        <w:t>약은</w:t>
      </w:r>
      <w:r>
        <w:rPr>
          <w:rFonts w:ascii="바탕" w:hAnsi="바탕"/>
          <w:color w:val="000000"/>
          <w:sz w:val="22"/>
        </w:rPr>
        <w:t xml:space="preserve"> </w:t>
      </w:r>
      <w:r>
        <w:rPr>
          <w:color w:val="000000"/>
          <w:sz w:val="22"/>
        </w:rPr>
        <w:t>항체반응을</w:t>
      </w:r>
      <w:r>
        <w:rPr>
          <w:rFonts w:ascii="바탕" w:hAnsi="바탕"/>
          <w:color w:val="000000"/>
          <w:sz w:val="22"/>
        </w:rPr>
        <w:t xml:space="preserve"> </w:t>
      </w:r>
      <w:r>
        <w:rPr>
          <w:rFonts w:ascii="Arial" w:hAnsi="Arial"/>
          <w:color w:val="000000"/>
          <w:sz w:val="22"/>
        </w:rPr>
        <w:t>유도하였으며 (IgG GMC 및 OPA GMT로 측정), 백신 접종 이전과 비교 시 통계학적으로 유의하게 더 높았다</w:t>
      </w:r>
      <w:r>
        <w:rPr>
          <w:rFonts w:ascii="바탕" w:hAnsi="바탕"/>
          <w:color w:val="000000"/>
          <w:sz w:val="22"/>
        </w:rPr>
        <w:t xml:space="preserve">. </w:t>
      </w:r>
      <w:r>
        <w:rPr>
          <w:rFonts w:ascii="Arial" w:hAnsi="Arial"/>
          <w:color w:val="000000"/>
          <w:sz w:val="22"/>
        </w:rPr>
        <w:t>두 번째 및 세 번째 접종 후의 면역 반응은 첫 접종 후와 유사하거나 더 높았다</w:t>
      </w:r>
    </w:p>
    <w:p>
      <w:pPr>
        <w:pStyle w:val="14"/>
        <w:rPr>
          <w:rFonts w:ascii="Arial" w:hAnsi="Arial"/>
          <w:color w:val="000000"/>
          <w:sz w:val="22"/>
        </w:rPr>
        <w:widowControl w:val="off"/>
        <w:spacing w:line="360" w:lineRule="auto"/>
      </w:pPr>
    </w:p>
    <w:p>
      <w:pPr>
        <w:pStyle w:val="14"/>
        <w:rPr>
          <w:rFonts w:ascii="Arial" w:hAnsi="Arial"/>
          <w:color w:val="000000"/>
          <w:sz w:val="22"/>
        </w:rPr>
        <w:widowControl w:val="off"/>
        <w:spacing w:line="360" w:lineRule="auto"/>
      </w:pPr>
      <w:r>
        <w:rPr>
          <w:color w:val="000000"/>
        </w:rPr>
        <w:t xml:space="preserve">(5)  </w:t>
      </w:r>
      <w:r>
        <w:rPr>
          <w:rFonts w:ascii="Arial" w:hAnsi="Arial"/>
          <w:color w:val="000000"/>
          <w:sz w:val="22"/>
        </w:rPr>
        <w:t>조혈모세포 이식</w:t>
      </w:r>
    </w:p>
    <w:p>
      <w:pPr>
        <w:pStyle w:val="14"/>
        <w:rPr>
          <w:rFonts w:ascii="바탕" w:hAnsi="바탕"/>
          <w:color w:val="000000"/>
          <w:sz w:val="22"/>
        </w:rPr>
        <w:widowControl w:val="off"/>
        <w:spacing w:line="360" w:lineRule="auto"/>
      </w:pPr>
      <w:r>
        <w:rPr>
          <w:rFonts w:ascii="Arial" w:hAnsi="Arial"/>
          <w:color w:val="000000"/>
          <w:sz w:val="22"/>
        </w:rPr>
        <w:t>조혈모세포를 이식받은 소아 및 성인 (2세 이상. 림프종 및 골수종의 경우 기저질환에 대해 혈액학적으로 완전완화 또는 매우 경과가 좋은 부분완화 상태인 경우), 이 약을 최소 1개월 간격으로 3회 접종받았다. 첫 접종은 조혈모세포이식 후 3-6개월 이내에 투여받았다. 4번째 접종 (추가접종)은 3번째 접종 6개월 이후에 투여받았다. 일반적</w:t>
      </w:r>
      <w:r>
        <w:rPr>
          <w:rFonts w:ascii="바탕" w:hAnsi="바탕"/>
          <w:color w:val="000000"/>
          <w:sz w:val="22"/>
        </w:rPr>
        <w:t xml:space="preserve"> </w:t>
      </w:r>
      <w:r>
        <w:rPr>
          <w:color w:val="000000"/>
          <w:sz w:val="22"/>
        </w:rPr>
        <w:t>권고에</w:t>
      </w:r>
      <w:r>
        <w:rPr>
          <w:rFonts w:ascii="바탕" w:hAnsi="바탕"/>
          <w:color w:val="000000"/>
          <w:sz w:val="22"/>
        </w:rPr>
        <w:t xml:space="preserve"> </w:t>
      </w:r>
      <w:r>
        <w:rPr>
          <w:color w:val="000000"/>
          <w:sz w:val="22"/>
        </w:rPr>
        <w:t>따라</w:t>
      </w:r>
      <w:r>
        <w:rPr>
          <w:rFonts w:ascii="바탕" w:hAnsi="바탕"/>
          <w:color w:val="000000"/>
          <w:sz w:val="22"/>
        </w:rPr>
        <w:t xml:space="preserve">, </w:t>
      </w:r>
      <w:r>
        <w:rPr>
          <w:color w:val="000000"/>
          <w:sz w:val="22"/>
        </w:rPr>
        <w:t>이</w:t>
      </w:r>
      <w:r>
        <w:rPr>
          <w:rFonts w:ascii="바탕" w:hAnsi="바탕"/>
          <w:color w:val="000000"/>
          <w:sz w:val="22"/>
        </w:rPr>
        <w:t xml:space="preserve"> </w:t>
      </w:r>
      <w:r>
        <w:rPr>
          <w:color w:val="000000"/>
          <w:sz w:val="22"/>
        </w:rPr>
        <w:t>약</w:t>
      </w:r>
      <w:r>
        <w:rPr>
          <w:rFonts w:ascii="바탕" w:hAnsi="바탕"/>
          <w:color w:val="000000"/>
          <w:sz w:val="22"/>
        </w:rPr>
        <w:t xml:space="preserve"> 4</w:t>
      </w:r>
      <w:r>
        <w:rPr>
          <w:color w:val="000000"/>
          <w:sz w:val="22"/>
        </w:rPr>
        <w:t>번째</w:t>
      </w:r>
      <w:r>
        <w:rPr>
          <w:rFonts w:ascii="바탕" w:hAnsi="바탕"/>
          <w:color w:val="000000"/>
          <w:sz w:val="22"/>
        </w:rPr>
        <w:t xml:space="preserve"> </w:t>
      </w:r>
      <w:r>
        <w:rPr>
          <w:color w:val="000000"/>
          <w:sz w:val="22"/>
        </w:rPr>
        <w:t>접종</w:t>
      </w:r>
      <w:r>
        <w:rPr>
          <w:rFonts w:ascii="바탕" w:hAnsi="바탕"/>
          <w:color w:val="000000"/>
          <w:sz w:val="22"/>
        </w:rPr>
        <w:t xml:space="preserve"> </w:t>
      </w:r>
      <w:r>
        <w:rPr>
          <w:color w:val="000000"/>
          <w:sz w:val="22"/>
        </w:rPr>
        <w:t>이후</w:t>
      </w:r>
      <w:r>
        <w:rPr>
          <w:rFonts w:ascii="바탕" w:hAnsi="바탕"/>
          <w:color w:val="000000"/>
          <w:sz w:val="22"/>
        </w:rPr>
        <w:t xml:space="preserve"> 23</w:t>
      </w:r>
      <w:r>
        <w:rPr>
          <w:color w:val="000000"/>
          <w:sz w:val="22"/>
        </w:rPr>
        <w:t>가</w:t>
      </w:r>
      <w:r>
        <w:rPr>
          <w:rFonts w:ascii="바탕" w:hAnsi="바탕"/>
          <w:color w:val="000000"/>
          <w:sz w:val="22"/>
        </w:rPr>
        <w:t xml:space="preserve"> </w:t>
      </w:r>
      <w:r>
        <w:rPr>
          <w:color w:val="000000"/>
          <w:sz w:val="22"/>
        </w:rPr>
        <w:t>폐렴구균</w:t>
      </w:r>
      <w:r>
        <w:rPr>
          <w:rFonts w:ascii="바탕" w:hAnsi="바탕"/>
          <w:color w:val="000000"/>
          <w:sz w:val="22"/>
        </w:rPr>
        <w:t xml:space="preserve"> </w:t>
      </w:r>
      <w:r>
        <w:rPr>
          <w:color w:val="000000"/>
          <w:sz w:val="22"/>
        </w:rPr>
        <w:t>폴리사카라이드</w:t>
      </w:r>
      <w:r>
        <w:rPr>
          <w:rFonts w:ascii="바탕" w:hAnsi="바탕"/>
          <w:color w:val="000000"/>
          <w:sz w:val="22"/>
        </w:rPr>
        <w:t xml:space="preserve"> </w:t>
      </w:r>
      <w:r>
        <w:rPr>
          <w:color w:val="000000"/>
          <w:sz w:val="22"/>
        </w:rPr>
        <w:t>백신이</w:t>
      </w:r>
      <w:r>
        <w:rPr>
          <w:rFonts w:ascii="바탕" w:hAnsi="바탕"/>
          <w:color w:val="000000"/>
          <w:sz w:val="22"/>
        </w:rPr>
        <w:t xml:space="preserve"> 1</w:t>
      </w:r>
      <w:r>
        <w:rPr>
          <w:color w:val="000000"/>
          <w:sz w:val="22"/>
        </w:rPr>
        <w:t>회</w:t>
      </w:r>
      <w:r>
        <w:rPr>
          <w:rFonts w:ascii="바탕" w:hAnsi="바탕"/>
          <w:color w:val="000000"/>
          <w:sz w:val="22"/>
        </w:rPr>
        <w:t xml:space="preserve"> </w:t>
      </w:r>
      <w:r>
        <w:rPr>
          <w:color w:val="000000"/>
          <w:sz w:val="22"/>
        </w:rPr>
        <w:t>접종되었다</w:t>
      </w:r>
      <w:r>
        <w:rPr>
          <w:rFonts w:ascii="바탕" w:hAnsi="바탕"/>
          <w:color w:val="000000"/>
          <w:sz w:val="22"/>
        </w:rPr>
        <w:t xml:space="preserve">. </w:t>
      </w:r>
      <w:r>
        <w:rPr>
          <w:color w:val="000000"/>
          <w:sz w:val="22"/>
        </w:rPr>
        <w:t>면역반응은</w:t>
      </w:r>
      <w:r>
        <w:rPr>
          <w:rFonts w:ascii="바탕" w:hAnsi="바탕"/>
          <w:color w:val="000000"/>
          <w:sz w:val="22"/>
        </w:rPr>
        <w:t xml:space="preserve"> </w:t>
      </w:r>
      <w:r>
        <w:rPr>
          <w:color w:val="000000"/>
          <w:sz w:val="22"/>
        </w:rPr>
        <w:t>각</w:t>
      </w:r>
      <w:r>
        <w:rPr>
          <w:rFonts w:ascii="바탕" w:hAnsi="바탕"/>
          <w:color w:val="000000"/>
          <w:sz w:val="22"/>
        </w:rPr>
        <w:t xml:space="preserve"> </w:t>
      </w:r>
      <w:r>
        <w:rPr>
          <w:color w:val="000000"/>
          <w:sz w:val="22"/>
        </w:rPr>
        <w:t>백신접종</w:t>
      </w:r>
      <w:r>
        <w:rPr>
          <w:rFonts w:ascii="바탕" w:hAnsi="바탕"/>
          <w:color w:val="000000"/>
          <w:sz w:val="22"/>
        </w:rPr>
        <w:t xml:space="preserve"> </w:t>
      </w:r>
      <w:r>
        <w:rPr>
          <w:color w:val="000000"/>
          <w:sz w:val="22"/>
        </w:rPr>
        <w:t>약</w:t>
      </w:r>
      <w:r>
        <w:rPr>
          <w:rFonts w:ascii="바탕" w:hAnsi="바탕"/>
          <w:color w:val="000000"/>
          <w:sz w:val="22"/>
        </w:rPr>
        <w:t xml:space="preserve"> 1</w:t>
      </w:r>
      <w:r>
        <w:rPr>
          <w:color w:val="000000"/>
          <w:sz w:val="22"/>
        </w:rPr>
        <w:t>개월</w:t>
      </w:r>
      <w:r>
        <w:rPr>
          <w:rFonts w:ascii="바탕" w:hAnsi="바탕"/>
          <w:color w:val="000000"/>
          <w:sz w:val="22"/>
        </w:rPr>
        <w:t xml:space="preserve"> </w:t>
      </w:r>
      <w:r>
        <w:rPr>
          <w:color w:val="000000"/>
          <w:sz w:val="22"/>
        </w:rPr>
        <w:t>후에</w:t>
      </w:r>
      <w:r>
        <w:rPr>
          <w:rFonts w:ascii="바탕" w:hAnsi="바탕"/>
          <w:color w:val="000000"/>
          <w:sz w:val="22"/>
        </w:rPr>
        <w:t>, 168-211</w:t>
      </w:r>
      <w:r>
        <w:rPr>
          <w:color w:val="000000"/>
          <w:sz w:val="22"/>
        </w:rPr>
        <w:t>명의</w:t>
      </w:r>
      <w:r>
        <w:rPr>
          <w:rFonts w:ascii="바탕" w:hAnsi="바탕"/>
          <w:color w:val="000000"/>
          <w:sz w:val="22"/>
        </w:rPr>
        <w:t xml:space="preserve"> </w:t>
      </w:r>
      <w:r>
        <w:rPr>
          <w:color w:val="000000"/>
          <w:sz w:val="22"/>
        </w:rPr>
        <w:t>평가가능한</w:t>
      </w:r>
      <w:r>
        <w:rPr>
          <w:rFonts w:ascii="바탕" w:hAnsi="바탕"/>
          <w:color w:val="000000"/>
          <w:sz w:val="22"/>
        </w:rPr>
        <w:t xml:space="preserve"> </w:t>
      </w:r>
      <w:r>
        <w:rPr>
          <w:color w:val="000000"/>
          <w:sz w:val="22"/>
        </w:rPr>
        <w:t>피험자에서</w:t>
      </w:r>
      <w:r>
        <w:rPr>
          <w:rFonts w:ascii="바탕" w:hAnsi="바탕"/>
          <w:color w:val="000000"/>
          <w:sz w:val="22"/>
        </w:rPr>
        <w:t xml:space="preserve"> </w:t>
      </w:r>
      <w:r>
        <w:rPr>
          <w:color w:val="000000"/>
          <w:sz w:val="22"/>
        </w:rPr>
        <w:t>평가하였다</w:t>
      </w:r>
      <w:r>
        <w:rPr>
          <w:rFonts w:ascii="바탕" w:hAnsi="바탕"/>
          <w:color w:val="000000"/>
          <w:sz w:val="22"/>
        </w:rPr>
        <w:t xml:space="preserve">. </w:t>
      </w:r>
      <w:r>
        <w:rPr>
          <w:color w:val="000000"/>
          <w:sz w:val="22"/>
        </w:rPr>
        <w:t>각</w:t>
      </w:r>
      <w:r>
        <w:rPr>
          <w:rFonts w:ascii="바탕" w:hAnsi="바탕"/>
          <w:color w:val="000000"/>
          <w:sz w:val="22"/>
        </w:rPr>
        <w:t xml:space="preserve"> </w:t>
      </w:r>
      <w:r>
        <w:rPr>
          <w:color w:val="000000"/>
          <w:sz w:val="22"/>
        </w:rPr>
        <w:t>접종</w:t>
      </w:r>
      <w:r>
        <w:rPr>
          <w:rFonts w:ascii="바탕" w:hAnsi="바탕"/>
          <w:color w:val="000000"/>
          <w:sz w:val="22"/>
        </w:rPr>
        <w:t xml:space="preserve"> </w:t>
      </w:r>
      <w:r>
        <w:rPr>
          <w:color w:val="000000"/>
          <w:sz w:val="22"/>
        </w:rPr>
        <w:t>이후</w:t>
      </w:r>
      <w:r>
        <w:rPr>
          <w:rFonts w:ascii="바탕" w:hAnsi="바탕"/>
          <w:color w:val="000000"/>
          <w:sz w:val="22"/>
        </w:rPr>
        <w:t xml:space="preserve">, </w:t>
      </w:r>
      <w:r>
        <w:rPr>
          <w:color w:val="000000"/>
          <w:sz w:val="22"/>
        </w:rPr>
        <w:t>이</w:t>
      </w:r>
      <w:r>
        <w:rPr>
          <w:rFonts w:ascii="바탕" w:hAnsi="바탕"/>
          <w:color w:val="000000"/>
          <w:sz w:val="22"/>
        </w:rPr>
        <w:t xml:space="preserve"> </w:t>
      </w:r>
      <w:r>
        <w:rPr>
          <w:color w:val="000000"/>
          <w:sz w:val="22"/>
        </w:rPr>
        <w:t>약은</w:t>
      </w:r>
      <w:r>
        <w:rPr>
          <w:rFonts w:ascii="바탕" w:hAnsi="바탕"/>
          <w:color w:val="000000"/>
          <w:sz w:val="22"/>
        </w:rPr>
        <w:t xml:space="preserve"> </w:t>
      </w:r>
      <w:r>
        <w:rPr>
          <w:color w:val="000000"/>
          <w:sz w:val="22"/>
        </w:rPr>
        <w:t>항체반응을</w:t>
      </w:r>
      <w:r>
        <w:rPr>
          <w:rFonts w:ascii="바탕" w:hAnsi="바탕"/>
          <w:color w:val="000000"/>
          <w:sz w:val="22"/>
        </w:rPr>
        <w:t xml:space="preserve"> </w:t>
      </w:r>
      <w:r>
        <w:rPr>
          <w:color w:val="000000"/>
          <w:sz w:val="22"/>
        </w:rPr>
        <w:t>유도하였다</w:t>
      </w:r>
      <w:r>
        <w:rPr>
          <w:rFonts w:ascii="바탕" w:hAnsi="바탕"/>
          <w:color w:val="000000"/>
          <w:sz w:val="22"/>
        </w:rPr>
        <w:t>. 4</w:t>
      </w:r>
      <w:r>
        <w:rPr>
          <w:color w:val="000000"/>
          <w:sz w:val="22"/>
        </w:rPr>
        <w:t>번째</w:t>
      </w:r>
      <w:r>
        <w:rPr>
          <w:rFonts w:ascii="바탕" w:hAnsi="바탕"/>
          <w:color w:val="000000"/>
          <w:sz w:val="22"/>
        </w:rPr>
        <w:t xml:space="preserve"> </w:t>
      </w:r>
      <w:r>
        <w:rPr>
          <w:color w:val="000000"/>
          <w:sz w:val="22"/>
        </w:rPr>
        <w:t>접종</w:t>
      </w:r>
      <w:r>
        <w:rPr>
          <w:rFonts w:ascii="바탕" w:hAnsi="바탕"/>
          <w:color w:val="000000"/>
          <w:sz w:val="22"/>
        </w:rPr>
        <w:t xml:space="preserve"> </w:t>
      </w:r>
      <w:r>
        <w:rPr>
          <w:color w:val="000000"/>
          <w:sz w:val="22"/>
        </w:rPr>
        <w:t>이후</w:t>
      </w:r>
      <w:r>
        <w:rPr>
          <w:rFonts w:ascii="바탕" w:hAnsi="바탕"/>
          <w:color w:val="000000"/>
          <w:sz w:val="22"/>
        </w:rPr>
        <w:t xml:space="preserve"> </w:t>
      </w:r>
      <w:r>
        <w:rPr>
          <w:color w:val="000000"/>
        </w:rPr>
        <w:t>3</w:t>
      </w:r>
      <w:r>
        <w:rPr>
          <w:color w:val="000000"/>
          <w:sz w:val="22"/>
        </w:rPr>
        <w:t>번째</w:t>
      </w:r>
      <w:r>
        <w:rPr>
          <w:rFonts w:ascii="바탕" w:hAnsi="바탕"/>
          <w:color w:val="000000"/>
          <w:sz w:val="22"/>
        </w:rPr>
        <w:t xml:space="preserve"> </w:t>
      </w:r>
      <w:r>
        <w:rPr>
          <w:color w:val="000000"/>
          <w:sz w:val="22"/>
        </w:rPr>
        <w:t>투여와</w:t>
      </w:r>
      <w:r>
        <w:rPr>
          <w:rFonts w:ascii="바탕" w:hAnsi="바탕"/>
          <w:color w:val="000000"/>
          <w:sz w:val="22"/>
        </w:rPr>
        <w:t xml:space="preserve"> </w:t>
      </w:r>
      <w:r>
        <w:rPr>
          <w:color w:val="000000"/>
          <w:sz w:val="22"/>
        </w:rPr>
        <w:t>비교</w:t>
      </w:r>
      <w:r>
        <w:rPr>
          <w:rFonts w:ascii="바탕" w:hAnsi="바탕"/>
          <w:color w:val="000000"/>
          <w:sz w:val="22"/>
        </w:rPr>
        <w:t xml:space="preserve"> </w:t>
      </w:r>
      <w:r>
        <w:rPr>
          <w:color w:val="000000"/>
          <w:sz w:val="22"/>
        </w:rPr>
        <w:t>시</w:t>
      </w:r>
      <w:r>
        <w:rPr>
          <w:rFonts w:ascii="바탕" w:hAnsi="바탕"/>
          <w:color w:val="000000"/>
          <w:sz w:val="22"/>
        </w:rPr>
        <w:t xml:space="preserve"> </w:t>
      </w:r>
      <w:r>
        <w:rPr>
          <w:color w:val="000000"/>
          <w:sz w:val="22"/>
        </w:rPr>
        <w:t>모든</w:t>
      </w:r>
      <w:r>
        <w:rPr>
          <w:rFonts w:ascii="바탕" w:hAnsi="바탕"/>
          <w:color w:val="000000"/>
          <w:sz w:val="22"/>
        </w:rPr>
        <w:t xml:space="preserve"> </w:t>
      </w:r>
      <w:r>
        <w:rPr>
          <w:color w:val="000000"/>
          <w:sz w:val="22"/>
        </w:rPr>
        <w:t>혈청형에</w:t>
      </w:r>
      <w:r>
        <w:rPr>
          <w:rFonts w:ascii="바탕" w:hAnsi="바탕"/>
          <w:color w:val="000000"/>
          <w:sz w:val="22"/>
        </w:rPr>
        <w:t xml:space="preserve"> </w:t>
      </w:r>
      <w:r>
        <w:rPr>
          <w:color w:val="000000"/>
          <w:sz w:val="22"/>
        </w:rPr>
        <w:t>대해</w:t>
      </w:r>
      <w:r>
        <w:rPr>
          <w:rFonts w:ascii="바탕" w:hAnsi="바탕"/>
          <w:color w:val="000000"/>
          <w:sz w:val="22"/>
        </w:rPr>
        <w:t xml:space="preserve"> </w:t>
      </w:r>
      <w:r>
        <w:rPr>
          <w:color w:val="000000"/>
          <w:sz w:val="22"/>
        </w:rPr>
        <w:t>면역반응이</w:t>
      </w:r>
      <w:r>
        <w:rPr>
          <w:rFonts w:ascii="바탕" w:hAnsi="바탕"/>
          <w:color w:val="000000"/>
          <w:sz w:val="22"/>
        </w:rPr>
        <w:t xml:space="preserve"> </w:t>
      </w:r>
      <w:r>
        <w:rPr>
          <w:color w:val="000000"/>
          <w:sz w:val="22"/>
        </w:rPr>
        <w:t>유의적으로</w:t>
      </w:r>
      <w:r>
        <w:rPr>
          <w:rFonts w:ascii="바탕" w:hAnsi="바탕"/>
          <w:color w:val="000000"/>
          <w:sz w:val="22"/>
        </w:rPr>
        <w:t xml:space="preserve"> </w:t>
      </w:r>
      <w:r>
        <w:rPr>
          <w:color w:val="000000"/>
          <w:sz w:val="22"/>
        </w:rPr>
        <w:t>더</w:t>
      </w:r>
      <w:r>
        <w:rPr>
          <w:rFonts w:ascii="바탕" w:hAnsi="바탕"/>
          <w:color w:val="000000"/>
          <w:sz w:val="22"/>
        </w:rPr>
        <w:t xml:space="preserve"> </w:t>
      </w:r>
      <w:r>
        <w:rPr>
          <w:color w:val="000000"/>
          <w:sz w:val="22"/>
        </w:rPr>
        <w:t>증가하였다</w:t>
      </w:r>
      <w:r>
        <w:rPr>
          <w:rFonts w:ascii="바탕" w:hAnsi="바탕"/>
          <w:color w:val="000000"/>
          <w:sz w:val="22"/>
        </w:rPr>
        <w:t xml:space="preserve">. </w:t>
      </w:r>
      <w:r>
        <w:rPr>
          <w:color w:val="000000"/>
          <w:sz w:val="22"/>
        </w:rPr>
        <w:t>이</w:t>
      </w:r>
      <w:r>
        <w:rPr>
          <w:rFonts w:ascii="바탕" w:hAnsi="바탕"/>
          <w:color w:val="000000"/>
          <w:sz w:val="22"/>
        </w:rPr>
        <w:t xml:space="preserve"> </w:t>
      </w:r>
      <w:r>
        <w:rPr>
          <w:color w:val="000000"/>
          <w:sz w:val="22"/>
        </w:rPr>
        <w:t>시험에서는</w:t>
      </w:r>
      <w:r>
        <w:rPr>
          <w:rFonts w:ascii="바탕" w:hAnsi="바탕"/>
          <w:color w:val="000000"/>
          <w:sz w:val="22"/>
        </w:rPr>
        <w:t xml:space="preserve"> </w:t>
      </w:r>
      <w:r>
        <w:rPr>
          <w:color w:val="000000"/>
          <w:sz w:val="22"/>
        </w:rPr>
        <w:t>기능적</w:t>
      </w:r>
      <w:r>
        <w:rPr>
          <w:rFonts w:ascii="바탕" w:hAnsi="바탕"/>
          <w:color w:val="000000"/>
          <w:sz w:val="22"/>
        </w:rPr>
        <w:t xml:space="preserve"> </w:t>
      </w:r>
      <w:r>
        <w:rPr>
          <w:color w:val="000000"/>
          <w:sz w:val="22"/>
        </w:rPr>
        <w:t>항체반응</w:t>
      </w:r>
      <w:r>
        <w:rPr>
          <w:rFonts w:ascii="바탕" w:hAnsi="바탕"/>
          <w:color w:val="000000"/>
          <w:sz w:val="22"/>
        </w:rPr>
        <w:t xml:space="preserve"> </w:t>
      </w:r>
      <w:r>
        <w:rPr>
          <w:color w:val="000000"/>
        </w:rPr>
        <w:t>(OPA titer)</w:t>
      </w:r>
      <w:r>
        <w:rPr>
          <w:color w:val="000000"/>
          <w:sz w:val="22"/>
        </w:rPr>
        <w:t>는</w:t>
      </w:r>
      <w:r>
        <w:rPr>
          <w:rFonts w:ascii="바탕" w:hAnsi="바탕"/>
          <w:color w:val="000000"/>
          <w:sz w:val="22"/>
        </w:rPr>
        <w:t xml:space="preserve"> </w:t>
      </w:r>
      <w:r>
        <w:rPr>
          <w:color w:val="000000"/>
          <w:sz w:val="22"/>
        </w:rPr>
        <w:t>측정되지</w:t>
      </w:r>
      <w:r>
        <w:rPr>
          <w:rFonts w:ascii="바탕" w:hAnsi="바탕"/>
          <w:color w:val="000000"/>
          <w:sz w:val="22"/>
        </w:rPr>
        <w:t xml:space="preserve"> </w:t>
      </w:r>
      <w:r>
        <w:rPr>
          <w:color w:val="000000"/>
          <w:sz w:val="22"/>
        </w:rPr>
        <w:t>않았다</w:t>
      </w:r>
      <w:r>
        <w:rPr>
          <w:rFonts w:ascii="바탕" w:hAnsi="바탕"/>
          <w:color w:val="000000"/>
          <w:sz w:val="22"/>
        </w:rPr>
        <w:t xml:space="preserve">. </w:t>
      </w:r>
    </w:p>
    <w:p>
      <w:pPr>
        <w:pStyle w:val="14"/>
        <w:rPr>
          <w:rFonts w:ascii="바탕" w:hAnsi="바탕"/>
          <w:color w:val="000000"/>
          <w:sz w:val="22"/>
        </w:rPr>
        <w:widowControl w:val="off"/>
        <w:spacing w:line="360" w:lineRule="auto"/>
      </w:pPr>
    </w:p>
    <w:p>
      <w:pPr>
        <w:pStyle w:val="0"/>
        <w:rPr>
          <w:rFonts w:ascii="바탕체" w:hAnsi="바탕체" w:eastAsia="바탕체"/>
          <w:color w:val="000000"/>
          <w:sz w:val="22"/>
          <w:shd w:val="clear" w:color="000000" w:fill="ffffff"/>
        </w:rPr>
        <w:widowControl w:val="off"/>
        <w:ind w:left="13"/>
      </w:pPr>
      <w:r>
        <w:rPr>
          <w:rFonts w:ascii="바탕체" w:hAnsi="바탕체" w:eastAsia="바탕체"/>
          <w:color w:val="000000"/>
          <w:sz w:val="22"/>
          <w:shd w:val="clear" w:color="000000" w:fill="ffffff"/>
        </w:rPr>
        <w:t>5) 운전 및 기계조작에 대한 영향</w:t>
      </w:r>
    </w:p>
    <w:p>
      <w:pPr>
        <w:pStyle w:val="0"/>
        <w:rPr>
          <w:color w:val="000000"/>
          <w:sz w:val="22"/>
          <w:shd w:val="clear" w:color="000000" w:fill="ffffff"/>
        </w:rPr>
        <w:widowControl w:val="off"/>
        <w:ind w:left="13"/>
      </w:pPr>
      <w:r>
        <w:rPr>
          <w:rFonts w:ascii="바탕체" w:hAnsi="바탕체"/>
          <w:color w:val="000000"/>
          <w:sz w:val="22"/>
          <w:shd w:val="clear" w:color="000000" w:fill="ffffff"/>
        </w:rPr>
        <w:t>운전 및 기계 사용에 대한 이 약의 영향은 없거나 무시할 수 있다</w:t>
      </w:r>
      <w:r>
        <w:rPr>
          <w:color w:val="000000"/>
          <w:sz w:val="22"/>
          <w:shd w:val="clear" w:color="000000" w:fill="ffffff"/>
        </w:rPr>
        <w:t>.</w:t>
      </w:r>
    </w:p>
    <w:p>
      <w:pPr>
        <w:pStyle w:val="0"/>
        <w:rPr>
          <w:rFonts w:eastAsia="바탕체"/>
          <w:color w:val="000000"/>
          <w:sz w:val="22"/>
          <w:shd w:val="clear" w:color="000000" w:fill="ffffff"/>
        </w:rPr>
        <w:widowControl w:val="off"/>
        <w:ind w:left="13"/>
      </w:pPr>
      <w:r>
        <w:rPr>
          <w:rFonts w:eastAsia="바탕체"/>
          <w:color w:val="000000"/>
          <w:sz w:val="22"/>
          <w:shd w:val="clear" w:color="000000" w:fill="ffffff"/>
        </w:rPr>
        <w:t>그러나</w:t>
      </w:r>
      <w:r>
        <w:rPr>
          <w:rFonts w:eastAsia="바탕체"/>
          <w:color w:val="000000"/>
          <w:sz w:val="22"/>
          <w:shd w:val="clear" w:color="000000" w:fill="ffffff"/>
        </w:rPr>
        <w:t>, 2. 약물이상반응 항의 일부 약물이상반응들이 운전 및 기계조작에 일시적으로 영향을 미칠 수 있다</w:t>
      </w:r>
    </w:p>
    <w:p>
      <w:pPr>
        <w:pStyle w:val="14"/>
        <w:rPr>
          <w:rFonts w:ascii="바탕" w:hAnsi="바탕"/>
          <w:color w:val="000000"/>
          <w:sz w:val="22"/>
        </w:rPr>
        <w:widowControl w:val="off"/>
        <w:spacing w:line="360" w:lineRule="auto"/>
      </w:pPr>
    </w:p>
    <w:p>
      <w:pPr>
        <w:pStyle w:val="14"/>
        <w:rPr>
          <w:rFonts w:ascii="Arial" w:hAnsi="Arial" w:eastAsia="바탕"/>
          <w:b/>
          <w:color w:val="000000"/>
          <w:sz w:val="22"/>
        </w:rPr>
        <w:widowControl w:val="off"/>
      </w:pPr>
      <w:r>
        <w:rPr>
          <w:rFonts w:ascii="Arial" w:hAnsi="Arial" w:eastAsia="바탕"/>
          <w:b/>
          <w:color w:val="000000"/>
          <w:sz w:val="22"/>
        </w:rPr>
        <w:t xml:space="preserve">4. 상호작용 </w:t>
      </w:r>
    </w:p>
    <w:p>
      <w:pPr>
        <w:pStyle w:val="14"/>
        <w:rPr>
          <w:rFonts w:ascii="Arial" w:hAnsi="Arial" w:eastAsia="바탕"/>
          <w:color w:val="000000"/>
          <w:sz w:val="22"/>
        </w:rPr>
        <w:widowControl w:val="off"/>
      </w:pPr>
      <w:r>
        <w:rPr>
          <w:rFonts w:ascii="Arial" w:hAnsi="Arial" w:eastAsia="바탕"/>
          <w:color w:val="000000"/>
          <w:sz w:val="22"/>
        </w:rPr>
        <w:t>1) 다른 주사용 백신은 항상 다른 접종부위에 투여하여야 한다.</w:t>
      </w:r>
    </w:p>
    <w:p>
      <w:pPr>
        <w:pStyle w:val="14"/>
        <w:rPr>
          <w:rFonts w:ascii="Arial" w:hAnsi="Arial"/>
          <w:b/>
          <w:color w:val="000000"/>
        </w:rPr>
        <w:widowControl w:val="off"/>
        <w:spacing w:line="360" w:lineRule="auto"/>
      </w:pPr>
      <w:r>
        <w:rPr>
          <w:rFonts w:ascii="Arial" w:hAnsi="Arial"/>
          <w:b/>
          <w:color w:val="000000"/>
        </w:rPr>
        <w:t xml:space="preserve"> </w:t>
      </w:r>
    </w:p>
    <w:p>
      <w:pPr>
        <w:pStyle w:val="14"/>
        <w:rPr>
          <w:rFonts w:ascii="Arial" w:hAnsi="Arial" w:eastAsia="바탕"/>
          <w:color w:val="000000"/>
          <w:sz w:val="22"/>
        </w:rPr>
        <w:widowControl w:val="off"/>
      </w:pPr>
      <w:r>
        <w:rPr>
          <w:rFonts w:ascii="Arial" w:hAnsi="Arial"/>
          <w:color w:val="000000"/>
          <w:sz w:val="22"/>
        </w:rPr>
        <w:t>2)</w:t>
      </w:r>
      <w:r>
        <w:rPr>
          <w:rFonts w:ascii="Arial" w:hAnsi="Arial" w:eastAsia="바탕"/>
          <w:color w:val="000000"/>
          <w:sz w:val="22"/>
        </w:rPr>
        <w:t xml:space="preserve"> 생후 6주 이상부터 만 5세(72개월 미만)까지의 영아 및 어린이</w:t>
      </w:r>
    </w:p>
    <w:p>
      <w:pPr>
        <w:pStyle w:val="14"/>
        <w:rPr>
          <w:rFonts w:ascii="Arial" w:hAnsi="Arial" w:eastAsia="바탕"/>
          <w:color w:val="000000"/>
          <w:sz w:val="22"/>
        </w:rPr>
        <w:widowControl w:val="off"/>
      </w:pPr>
      <w:r>
        <w:rPr>
          <w:rFonts w:ascii="Arial" w:hAnsi="Arial" w:eastAsia="바탕"/>
          <w:color w:val="000000"/>
          <w:sz w:val="22"/>
        </w:rPr>
        <w:t>이 약은 다음의 백신 항원에 대한 단독백</w:t>
      </w:r>
      <w:r>
        <w:rPr>
          <w:rFonts w:ascii="Arial" w:hAnsi="Arial" w:eastAsia="바탕"/>
          <w:color w:val="000000"/>
          <w:sz w:val="22"/>
        </w:rPr>
        <w:t xml:space="preserve">신 또는 혼합백신과 병용투여 가능하다: 디프테리아, 파상풍, 무세포성 또는 전세포 백일해, B형 인플루엔자균, 불활성화 소아마비, A형 간염, B형 간염, 혈청형 C 수막구균, 홍역, 볼거리, 풍진, 수두, 로타바이러스. </w:t>
      </w:r>
    </w:p>
    <w:p>
      <w:pPr>
        <w:pStyle w:val="14"/>
        <w:rPr>
          <w:rFonts w:ascii="Arial" w:hAnsi="Arial"/>
          <w:b/>
          <w:color w:val="000000"/>
        </w:rPr>
        <w:widowControl w:val="off"/>
        <w:spacing w:line="360" w:lineRule="auto"/>
      </w:pPr>
      <w:r>
        <w:rPr>
          <w:rFonts w:ascii="Arial" w:hAnsi="Arial"/>
          <w:b/>
          <w:color w:val="000000"/>
        </w:rPr>
        <w:t xml:space="preserve"> </w:t>
      </w:r>
    </w:p>
    <w:p>
      <w:pPr>
        <w:pStyle w:val="18"/>
        <w:rPr>
          <w:rFonts w:eastAsia="바탕"/>
          <w:b w:val="0"/>
          <w:color w:val="000000"/>
          <w:sz w:val="22"/>
        </w:rPr>
        <w:widowControl w:val="off"/>
        <w:spacing w:line="360" w:lineRule="auto"/>
      </w:pPr>
      <w:r>
        <w:rPr>
          <w:b w:val="0"/>
          <w:color w:val="000000"/>
          <w:sz w:val="22"/>
        </w:rPr>
        <w:t>3)</w:t>
      </w:r>
      <w:r>
        <w:rPr>
          <w:rFonts w:eastAsia="바탕"/>
          <w:b w:val="0"/>
          <w:color w:val="000000"/>
          <w:sz w:val="22"/>
        </w:rPr>
        <w:t xml:space="preserve"> 만 6세부터 만 17세까지의 어린이 및 청소년</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현재로서는 다른 백신과의 병용투여에 대한 연구자료가 없다.</w:t>
      </w:r>
    </w:p>
    <w:p>
      <w:pPr>
        <w:pStyle w:val="14"/>
        <w:rPr>
          <w:rFonts w:ascii="Arial" w:hAnsi="Arial" w:eastAsia="바탕"/>
          <w:b/>
          <w:color w:val="000000"/>
          <w:sz w:val="22"/>
        </w:rPr>
        <w:widowControl w:val="off"/>
        <w:spacing w:line="360" w:lineRule="auto"/>
      </w:pPr>
    </w:p>
    <w:p>
      <w:pPr>
        <w:pStyle w:val="14"/>
        <w:rPr>
          <w:rFonts w:ascii="Arial" w:hAnsi="Arial" w:eastAsia="바탕"/>
          <w:color w:val="000000"/>
          <w:sz w:val="22"/>
        </w:rPr>
        <w:widowControl w:val="off"/>
        <w:spacing w:line="360" w:lineRule="auto"/>
      </w:pPr>
      <w:r>
        <w:rPr>
          <w:rFonts w:ascii="Arial" w:hAnsi="Arial" w:eastAsia="바탕"/>
          <w:color w:val="000000"/>
          <w:sz w:val="22"/>
        </w:rPr>
        <w:t>4) 만 18세에서 49세까지의 성인</w:t>
      </w:r>
    </w:p>
    <w:p>
      <w:pPr>
        <w:pStyle w:val="14"/>
        <w:rPr>
          <w:rFonts w:ascii="Arial" w:hAnsi="Arial"/>
          <w:color w:val="000000"/>
          <w:sz w:val="22"/>
        </w:rPr>
        <w:widowControl w:val="off"/>
        <w:spacing w:line="360" w:lineRule="auto"/>
      </w:pPr>
      <w:r>
        <w:rPr>
          <w:rFonts w:ascii="Arial" w:hAnsi="Arial"/>
          <w:color w:val="000000"/>
          <w:sz w:val="22"/>
        </w:rPr>
        <w:t>다른 백신과의 병용 투여에 관련해서는</w:t>
      </w:r>
      <w:r>
        <w:rPr>
          <w:color w:val="000000"/>
          <w:sz w:val="22"/>
        </w:rPr>
        <w:t xml:space="preserve"> </w:t>
      </w:r>
      <w:r>
        <w:rPr>
          <w:rFonts w:ascii="Arial" w:hAnsi="Arial"/>
          <w:color w:val="000000"/>
          <w:sz w:val="22"/>
        </w:rPr>
        <w:t>알려진 자료가 없다.</w:t>
      </w:r>
    </w:p>
    <w:p>
      <w:pPr>
        <w:pStyle w:val="14"/>
        <w:rPr>
          <w:rFonts w:ascii="Arial" w:hAnsi="Arial"/>
          <w:b/>
          <w:color w:val="000000"/>
        </w:rPr>
        <w:widowControl w:val="off"/>
        <w:spacing w:line="360" w:lineRule="auto"/>
      </w:pPr>
    </w:p>
    <w:p>
      <w:pPr>
        <w:pStyle w:val="14"/>
        <w:rPr>
          <w:rFonts w:ascii="Arial" w:hAnsi="Arial" w:eastAsia="바탕"/>
          <w:color w:val="000000"/>
          <w:sz w:val="22"/>
        </w:rPr>
        <w:widowControl w:val="off"/>
      </w:pPr>
      <w:r>
        <w:rPr>
          <w:rFonts w:ascii="Arial" w:hAnsi="Arial"/>
          <w:color w:val="000000"/>
          <w:sz w:val="22"/>
        </w:rPr>
        <w:t>5)</w:t>
      </w:r>
      <w:r>
        <w:rPr>
          <w:rFonts w:ascii="Arial" w:hAnsi="Arial" w:eastAsia="바탕"/>
          <w:color w:val="000000"/>
          <w:sz w:val="22"/>
        </w:rPr>
        <w:t xml:space="preserve"> 50세 이상의 성인</w:t>
      </w:r>
    </w:p>
    <w:p>
      <w:pPr>
        <w:pStyle w:val="14"/>
        <w:rPr>
          <w:rFonts w:ascii="Arial" w:hAnsi="Arial"/>
          <w:color w:val="000000"/>
          <w:sz w:val="22"/>
        </w:rPr>
        <w:widowControl w:val="off"/>
      </w:pPr>
      <w:r>
        <w:rPr>
          <w:rFonts w:ascii="Arial" w:hAnsi="Arial"/>
          <w:color w:val="000000"/>
          <w:sz w:val="22"/>
        </w:rPr>
        <w:t>(</w:t>
      </w:r>
      <w:r>
        <w:rPr>
          <w:rFonts w:ascii="Arial" w:hAnsi="Arial"/>
          <w:color w:val="000000"/>
        </w:rPr>
        <w:t xml:space="preserve">1)  </w:t>
      </w:r>
      <w:r>
        <w:rPr>
          <w:rFonts w:ascii="Arial" w:hAnsi="Arial"/>
          <w:color w:val="000000"/>
          <w:sz w:val="22"/>
        </w:rPr>
        <w:t xml:space="preserve">이 약은 </w:t>
      </w:r>
      <w:r>
        <w:rPr>
          <w:color w:val="000000"/>
          <w:sz w:val="22"/>
        </w:rPr>
        <w:t>계절성</w:t>
      </w:r>
      <w:r>
        <w:rPr>
          <w:rFonts w:ascii="Arial" w:hAnsi="Arial"/>
          <w:color w:val="000000"/>
          <w:sz w:val="22"/>
        </w:rPr>
        <w:t xml:space="preserve"> 3가 비활성화 인플루엔자 백신과 병용투여 가능하다.</w:t>
      </w:r>
    </w:p>
    <w:p>
      <w:pPr>
        <w:pStyle w:val="14"/>
        <w:rPr>
          <w:rFonts w:ascii="Arial" w:hAnsi="Arial"/>
          <w:color w:val="000000"/>
          <w:sz w:val="22"/>
        </w:rPr>
        <w:widowControl w:val="off"/>
      </w:pPr>
      <w:r>
        <w:rPr>
          <w:rFonts w:ascii="Arial" w:hAnsi="Arial"/>
          <w:color w:val="000000"/>
          <w:sz w:val="22"/>
        </w:rPr>
        <w:t>(</w:t>
      </w:r>
      <w:r>
        <w:rPr>
          <w:rFonts w:ascii="Arial" w:hAnsi="Arial"/>
          <w:color w:val="000000"/>
        </w:rPr>
        <w:t xml:space="preserve">2)  </w:t>
      </w:r>
      <w:r>
        <w:rPr>
          <w:rFonts w:ascii="Arial" w:hAnsi="Arial"/>
          <w:color w:val="000000"/>
          <w:sz w:val="22"/>
        </w:rPr>
        <w:t>50~59세 및 65세 이상 성인에서 수행된 2개 임상시험에서 이 약은 3가 비활성화 인플루엔자 백신과 병용투여 할 수 있음을 입증되었다. 인플루엔자백신에 포함된 세 항원에 대한 반응은 인플루엔자 백신 단독투여 시와 이 약과 병용투여 시 서로 동등하였다.</w:t>
      </w:r>
    </w:p>
    <w:p>
      <w:pPr>
        <w:pStyle w:val="14"/>
        <w:rPr>
          <w:rFonts w:ascii="Arial" w:hAnsi="Arial"/>
          <w:color w:val="000000"/>
          <w:sz w:val="22"/>
        </w:rPr>
        <w:widowControl w:val="off"/>
      </w:pPr>
      <w:r>
        <w:rPr>
          <w:rFonts w:ascii="Arial" w:hAnsi="Arial"/>
          <w:color w:val="000000"/>
          <w:sz w:val="22"/>
        </w:rPr>
        <w:t>(</w:t>
      </w:r>
      <w:r>
        <w:rPr>
          <w:rFonts w:ascii="Arial" w:hAnsi="Arial"/>
          <w:color w:val="000000"/>
        </w:rPr>
        <w:t xml:space="preserve">3)  </w:t>
      </w:r>
      <w:r>
        <w:rPr>
          <w:rFonts w:ascii="Arial" w:hAnsi="Arial"/>
          <w:color w:val="000000"/>
          <w:sz w:val="22"/>
        </w:rPr>
        <w:t>이 약을 인플루엔자 백신과 병용투여 시, 이 약에 대한 면역반응은 이 약 단독투여시 보다 낮았다. 이에 대한 임상적인 유의성은 알려지지 않았다.</w:t>
      </w:r>
    </w:p>
    <w:p>
      <w:pPr>
        <w:pStyle w:val="0"/>
        <w:rPr>
          <w:rFonts w:ascii="Arial" w:hAnsi="Arial"/>
          <w:color w:val="000000"/>
          <w:sz w:val="22"/>
          <w:shd w:val="clear" w:color="000000" w:fill="ffffff"/>
        </w:rPr>
        <w:widowControl w:val="off"/>
        <w:spacing w:line="360" w:lineRule="auto"/>
      </w:pPr>
      <w:r>
        <w:rPr>
          <w:rFonts w:ascii="Arial" w:hAnsi="Arial"/>
          <w:color w:val="000000"/>
          <w:sz w:val="22"/>
          <w:shd w:val="clear" w:color="000000" w:fill="ffffff"/>
        </w:rPr>
        <w:t xml:space="preserve"> </w:t>
      </w:r>
    </w:p>
    <w:p>
      <w:pPr>
        <w:pStyle w:val="14"/>
        <w:rPr>
          <w:rFonts w:ascii="Arial" w:hAnsi="Arial" w:eastAsia="바탕"/>
          <w:b/>
          <w:color w:val="000000"/>
          <w:sz w:val="22"/>
        </w:rPr>
        <w:widowControl w:val="off"/>
      </w:pPr>
      <w:r>
        <w:rPr>
          <w:rFonts w:ascii="Arial" w:hAnsi="Arial" w:eastAsia="바탕"/>
          <w:b/>
          <w:color w:val="000000"/>
          <w:sz w:val="22"/>
        </w:rPr>
        <w:t>5. 임부 및 수유부에 대한 투여</w:t>
      </w:r>
    </w:p>
    <w:p>
      <w:pPr>
        <w:pStyle w:val="14"/>
        <w:rPr>
          <w:rFonts w:ascii="Arial" w:hAnsi="Arial" w:eastAsia="바탕"/>
          <w:color w:val="000000"/>
          <w:sz w:val="22"/>
        </w:rPr>
        <w:widowControl w:val="off"/>
      </w:pPr>
      <w:r>
        <w:rPr>
          <w:rFonts w:ascii="Arial" w:hAnsi="Arial"/>
          <w:color w:val="000000"/>
          <w:sz w:val="22"/>
        </w:rPr>
        <w:t>1)</w:t>
      </w:r>
      <w:r>
        <w:rPr>
          <w:rFonts w:ascii="Arial" w:hAnsi="Arial" w:eastAsia="바탕"/>
          <w:color w:val="000000"/>
          <w:sz w:val="22"/>
        </w:rPr>
        <w:t xml:space="preserve"> 임신 또는 수유중인 사람에 대한 자료 및 동물에서의 생식독성시험은 없다. </w:t>
      </w:r>
      <w:r>
        <w:rPr>
          <w:rFonts w:ascii="Arial" w:hAnsi="Arial" w:eastAsia="바탕"/>
          <w:color w:val="000000"/>
          <w:sz w:val="22"/>
        </w:rPr>
        <w:t>따라서, 임신 중 이약의 사용은 피해야 한다.</w:t>
      </w:r>
    </w:p>
    <w:p>
      <w:pPr>
        <w:pStyle w:val="14"/>
        <w:rPr>
          <w:rFonts w:ascii="Arial" w:hAnsi="Arial" w:eastAsia="바탕"/>
          <w:color w:val="000000"/>
          <w:sz w:val="22"/>
        </w:rPr>
        <w:widowControl w:val="off"/>
      </w:pPr>
      <w:r>
        <w:rPr>
          <w:rFonts w:ascii="Arial" w:hAnsi="Arial"/>
          <w:color w:val="000000"/>
          <w:sz w:val="22"/>
        </w:rPr>
        <w:t>2)</w:t>
      </w:r>
      <w:r>
        <w:rPr>
          <w:rFonts w:ascii="Arial" w:hAnsi="Arial" w:eastAsia="바탕"/>
          <w:color w:val="000000"/>
          <w:sz w:val="22"/>
        </w:rPr>
        <w:t xml:space="preserve"> 백신항원 또는 항체의 모유 중으로의 이행 여부는 알려져 있지 않다.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eastAsia="바탕"/>
          <w:b/>
          <w:color w:val="000000"/>
          <w:sz w:val="22"/>
        </w:rPr>
        <w:t>6. 소아에 대한 투여</w:t>
      </w:r>
    </w:p>
    <w:p>
      <w:pPr>
        <w:pStyle w:val="14"/>
        <w:rPr>
          <w:rFonts w:ascii="Arial" w:hAnsi="Arial" w:eastAsia="바탕"/>
          <w:color w:val="000000"/>
          <w:sz w:val="22"/>
        </w:rPr>
        <w:widowControl w:val="off"/>
      </w:pPr>
      <w:r>
        <w:rPr>
          <w:rFonts w:ascii="Arial" w:hAnsi="Arial" w:eastAsia="바탕"/>
          <w:color w:val="000000"/>
          <w:sz w:val="22"/>
        </w:rPr>
        <w:t xml:space="preserve">6주 이하의 소아에서 이 약의 안전성과 유효성은 확립되지 않았다. </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eastAsia="바탕"/>
          <w:b/>
          <w:color w:val="000000"/>
          <w:sz w:val="22"/>
        </w:rPr>
        <w:t>7. 고령자에 대한 투여</w:t>
      </w:r>
    </w:p>
    <w:p>
      <w:pPr>
        <w:pStyle w:val="14"/>
        <w:rPr>
          <w:rFonts w:ascii="Arial" w:hAnsi="Arial"/>
          <w:color w:val="000000"/>
          <w:sz w:val="22"/>
        </w:rPr>
        <w:widowControl w:val="off"/>
      </w:pPr>
      <w:r>
        <w:rPr>
          <w:rFonts w:ascii="Arial" w:hAnsi="Arial"/>
          <w:color w:val="000000"/>
          <w:sz w:val="22"/>
        </w:rPr>
        <w:t xml:space="preserve">이 약은 고령자에 투여 </w:t>
      </w:r>
      <w:r>
        <w:rPr>
          <w:rFonts w:ascii="Arial" w:hAnsi="Arial"/>
          <w:color w:val="000000"/>
          <w:sz w:val="22"/>
        </w:rPr>
        <w:t>시 안전하며 면역원성이 있다.</w:t>
      </w:r>
    </w:p>
    <w:p>
      <w:pPr>
        <w:pStyle w:val="14"/>
        <w:rPr>
          <w:rFonts w:ascii="Arial" w:hAnsi="Arial" w:eastAsia="바탕"/>
          <w:color w:val="000000"/>
          <w:sz w:val="22"/>
        </w:rPr>
        <w:widowControl w:val="off"/>
      </w:pPr>
      <w:r>
        <w:rPr>
          <w:rFonts w:ascii="Arial" w:hAnsi="Arial"/>
          <w:color w:val="000000"/>
          <w:sz w:val="22"/>
        </w:rPr>
        <w:t>7</w:t>
      </w:r>
      <w:r>
        <w:rPr>
          <w:rFonts w:ascii="Arial" w:hAnsi="Arial"/>
          <w:color w:val="000000"/>
          <w:sz w:val="22"/>
        </w:rPr>
        <w:t xml:space="preserve">개의 임상시험에서 이 약을 투여받은 </w:t>
      </w:r>
      <w:r>
        <w:rPr>
          <w:rFonts w:ascii="Arial" w:hAnsi="Arial"/>
          <w:color w:val="000000"/>
          <w:sz w:val="22"/>
        </w:rPr>
        <w:t>48,806</w:t>
      </w:r>
      <w:r>
        <w:rPr>
          <w:rFonts w:ascii="Arial" w:hAnsi="Arial"/>
          <w:color w:val="000000"/>
          <w:sz w:val="22"/>
        </w:rPr>
        <w:t xml:space="preserve">명의 성인 중에서 65~74세의 고령자는 </w:t>
      </w:r>
      <w:r>
        <w:rPr>
          <w:rFonts w:ascii="Arial" w:hAnsi="Arial"/>
          <w:color w:val="000000"/>
          <w:sz w:val="22"/>
        </w:rPr>
        <w:t>30,793</w:t>
      </w:r>
      <w:r>
        <w:rPr>
          <w:rFonts w:ascii="Arial" w:hAnsi="Arial"/>
          <w:color w:val="000000"/>
          <w:sz w:val="22"/>
        </w:rPr>
        <w:t>명 (</w:t>
      </w:r>
      <w:r>
        <w:rPr>
          <w:rFonts w:ascii="Arial" w:hAnsi="Arial"/>
          <w:color w:val="000000"/>
          <w:sz w:val="22"/>
        </w:rPr>
        <w:t>63.1</w:t>
      </w:r>
      <w:r>
        <w:rPr>
          <w:rFonts w:ascii="Arial" w:hAnsi="Arial"/>
          <w:color w:val="000000"/>
          <w:sz w:val="22"/>
        </w:rPr>
        <w:t xml:space="preserve">%)였으며 75세 이상의 고령자는 </w:t>
      </w:r>
      <w:r>
        <w:rPr>
          <w:rFonts w:ascii="Arial" w:hAnsi="Arial"/>
          <w:color w:val="000000"/>
          <w:sz w:val="22"/>
        </w:rPr>
        <w:t>14.498</w:t>
      </w:r>
      <w:r>
        <w:rPr>
          <w:rFonts w:ascii="Arial" w:hAnsi="Arial"/>
          <w:color w:val="000000"/>
          <w:sz w:val="22"/>
        </w:rPr>
        <w:t>명 (</w:t>
      </w:r>
      <w:r>
        <w:rPr>
          <w:rFonts w:ascii="Arial" w:hAnsi="Arial"/>
          <w:color w:val="000000"/>
          <w:sz w:val="22"/>
        </w:rPr>
        <w:t>29.7</w:t>
      </w:r>
      <w:r>
        <w:rPr>
          <w:rFonts w:ascii="Arial" w:hAnsi="Arial"/>
          <w:color w:val="000000"/>
          <w:sz w:val="22"/>
        </w:rPr>
        <w:t xml:space="preserve">%)이었다. 65~74세의 고령자와 75세 이상의 고령자 간에 임상적으로 유의한 안전성 또는 면역원성 차이는 없었다. </w:t>
      </w:r>
      <w:r>
        <w:rPr>
          <w:rFonts w:ascii="Arial" w:hAnsi="Arial" w:eastAsia="바탕"/>
          <w:color w:val="000000"/>
          <w:sz w:val="22"/>
        </w:rPr>
        <w:t>다만, 65세 이상에서 이 약의 항체반응은 50-59세의 항체반응과 비교하여 낮았다.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eastAsia="바탕"/>
          <w:b/>
          <w:color w:val="000000"/>
          <w:sz w:val="22"/>
        </w:rPr>
        <w:t>8. 과량투여시의 처치</w:t>
      </w:r>
    </w:p>
    <w:p>
      <w:pPr>
        <w:pStyle w:val="14"/>
        <w:rPr>
          <w:rFonts w:ascii="Arial" w:hAnsi="Arial" w:eastAsia="바탕"/>
          <w:color w:val="000000"/>
          <w:sz w:val="22"/>
        </w:rPr>
        <w:widowControl w:val="off"/>
      </w:pPr>
      <w:r>
        <w:rPr>
          <w:rFonts w:ascii="Arial" w:hAnsi="Arial" w:eastAsia="바탕"/>
          <w:color w:val="000000"/>
          <w:sz w:val="22"/>
        </w:rPr>
        <w:t>이 약은 과량투여는 프리필드시린지 제형이기 때문에 발생할 가능성이 거의 없다. 그러나 영아 및 어린이에서 이 약의 다음 투여가 권장된 간격보다 더 가깝게 투여된 것으로 정의되는 과량투여 사례가 보고된 바 있다. 대체로 과량투여시의 약물</w:t>
      </w:r>
      <w:r>
        <w:rPr>
          <w:rFonts w:eastAsia="바탕"/>
          <w:color w:val="000000"/>
          <w:sz w:val="22"/>
        </w:rPr>
        <w:t>이상</w:t>
      </w:r>
      <w:r>
        <w:rPr>
          <w:rFonts w:ascii="Arial" w:hAnsi="Arial" w:eastAsia="바탕"/>
          <w:color w:val="000000"/>
          <w:sz w:val="22"/>
        </w:rPr>
        <w:t>반응은 이 약의 권장된 소아 투여 스케쥴에서 보고된 것과 일치하였다.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eastAsia="바탕"/>
          <w:b/>
          <w:color w:val="000000"/>
          <w:sz w:val="22"/>
        </w:rPr>
        <w:t>9. 적용상의 주의</w:t>
      </w:r>
    </w:p>
    <w:p>
      <w:pPr>
        <w:pStyle w:val="14"/>
        <w:rPr>
          <w:rFonts w:ascii="Arial" w:hAnsi="Arial" w:eastAsia="바탕"/>
          <w:color w:val="000000"/>
          <w:sz w:val="22"/>
        </w:rPr>
        <w:widowControl w:val="off"/>
      </w:pPr>
      <w:r>
        <w:rPr>
          <w:rFonts w:ascii="Arial" w:hAnsi="Arial" w:eastAsia="바탕"/>
          <w:color w:val="000000"/>
          <w:sz w:val="22"/>
        </w:rPr>
        <w:t>1) 이 약은 보관 중에 흰색의 퇴적물과 투명한 상층액이 관찰될 수 있다.</w:t>
      </w:r>
    </w:p>
    <w:p>
      <w:pPr>
        <w:pStyle w:val="14"/>
        <w:rPr>
          <w:rFonts w:ascii="Arial" w:hAnsi="Arial" w:eastAsia="바탕"/>
          <w:color w:val="000000"/>
          <w:sz w:val="22"/>
        </w:rPr>
        <w:widowControl w:val="off"/>
      </w:pPr>
      <w:r>
        <w:rPr>
          <w:rFonts w:ascii="Arial" w:hAnsi="Arial" w:eastAsia="바탕"/>
          <w:color w:val="000000"/>
          <w:sz w:val="22"/>
        </w:rPr>
        <w:t>2) 이 약은 투여 전 흔들어 균일한 백색 현탁액으로 만들어야 하며 균일하게 현탁되지 않는 경우에는 사용하지 말아야 한다. 육안으로 모든 미립자 물질이나 물리적 변화를 확인하여야 하며 이상이 있는 경우에는 사용하지 말아야 한다.</w:t>
      </w:r>
    </w:p>
    <w:p>
      <w:pPr>
        <w:pStyle w:val="14"/>
        <w:rPr>
          <w:rFonts w:ascii="Arial" w:hAnsi="Arial" w:eastAsia="바탕"/>
          <w:color w:val="000000"/>
          <w:sz w:val="22"/>
        </w:rPr>
        <w:widowControl w:val="off"/>
      </w:pPr>
      <w:r>
        <w:rPr>
          <w:rFonts w:ascii="Arial" w:hAnsi="Arial" w:eastAsia="바탕"/>
          <w:color w:val="000000"/>
          <w:sz w:val="22"/>
        </w:rPr>
        <w:t>3) 동일한 주사기에 이 약과 다른 백신/약물을 혼합해서는 안 된다.</w:t>
      </w:r>
    </w:p>
    <w:p>
      <w:pPr>
        <w:pStyle w:val="14"/>
        <w:rPr>
          <w:rFonts w:ascii="Arial" w:hAnsi="Arial" w:eastAsia="바탕"/>
          <w:color w:val="000000"/>
          <w:sz w:val="22"/>
        </w:rPr>
        <w:widowControl w:val="off"/>
      </w:pPr>
      <w:r>
        <w:rPr>
          <w:rFonts w:ascii="Arial" w:hAnsi="Arial"/>
          <w:color w:val="000000"/>
          <w:sz w:val="22"/>
        </w:rPr>
        <w:t xml:space="preserve"> </w:t>
      </w:r>
    </w:p>
    <w:p>
      <w:pPr>
        <w:pStyle w:val="14"/>
        <w:rPr>
          <w:rFonts w:ascii="Arial" w:hAnsi="Arial" w:eastAsia="바탕"/>
          <w:b/>
          <w:color w:val="000000"/>
          <w:sz w:val="22"/>
        </w:rPr>
        <w:widowControl w:val="off"/>
      </w:pPr>
      <w:r>
        <w:rPr>
          <w:rFonts w:ascii="Arial" w:hAnsi="Arial"/>
          <w:b/>
          <w:color w:val="000000"/>
          <w:sz w:val="22"/>
        </w:rPr>
        <w:t>10.</w:t>
      </w:r>
      <w:r>
        <w:rPr>
          <w:rFonts w:ascii="Arial" w:hAnsi="Arial" w:eastAsia="바탕"/>
          <w:b/>
          <w:color w:val="000000"/>
          <w:sz w:val="22"/>
        </w:rPr>
        <w:t xml:space="preserve"> 보관 및 취급</w:t>
      </w:r>
      <w:r>
        <w:rPr>
          <w:rFonts w:ascii="Arial" w:hAnsi="Arial" w:eastAsia="바탕"/>
          <w:b/>
          <w:color w:val="000000"/>
          <w:sz w:val="22"/>
        </w:rPr>
        <w:t>상의 주의</w:t>
      </w:r>
    </w:p>
    <w:p>
      <w:pPr>
        <w:pStyle w:val="14"/>
        <w:rPr>
          <w:rFonts w:ascii="Arial" w:hAnsi="Arial" w:eastAsia="바탕"/>
          <w:color w:val="000000"/>
          <w:sz w:val="22"/>
        </w:rPr>
        <w:widowControl w:val="off"/>
      </w:pPr>
      <w:r>
        <w:rPr>
          <w:rFonts w:ascii="Arial" w:hAnsi="Arial" w:eastAsia="바탕"/>
          <w:color w:val="000000"/>
          <w:sz w:val="22"/>
        </w:rPr>
        <w:t>동결을 피하여 2-8</w:t>
      </w:r>
      <w:r>
        <w:rPr>
          <w:color w:val="000000"/>
          <w:sz w:val="22"/>
        </w:rPr>
        <w:t>℃</w:t>
      </w:r>
      <w:r>
        <w:rPr>
          <w:rFonts w:ascii="Arial" w:hAnsi="Arial" w:eastAsia="바탕"/>
          <w:color w:val="000000"/>
          <w:sz w:val="22"/>
        </w:rPr>
        <w:t xml:space="preserve"> 에서 냉장보관한다. 동결된 백신은 폐기처분 하도록 한다.</w:t>
      </w:r>
    </w:p>
    <w:p>
      <w:pPr>
        <w:pStyle w:val="14"/>
        <w:rPr>
          <w:color w:val="000000"/>
          <w:sz w:val="24"/>
        </w:rPr>
        <w:widowControl w:val="off"/>
      </w:pPr>
    </w:p>
    <w:p>
      <w:pPr>
        <w:pStyle w:val="14"/>
        <w:rPr>
          <w:rFonts w:ascii="Arial" w:hAnsi="Arial" w:eastAsia="바탕"/>
          <w:b/>
          <w:color w:val="000000"/>
          <w:sz w:val="22"/>
        </w:rPr>
        <w:widowControl w:val="off"/>
      </w:pPr>
      <w:r>
        <w:rPr>
          <w:rFonts w:ascii="Arial" w:hAnsi="Arial" w:eastAsia="바탕"/>
          <w:b/>
          <w:color w:val="000000"/>
          <w:sz w:val="22"/>
        </w:rPr>
        <w:t>11. 기타</w:t>
      </w:r>
    </w:p>
    <w:p>
      <w:pPr>
        <w:pStyle w:val="14"/>
        <w:rPr>
          <w:rFonts w:ascii="Arial" w:hAnsi="Arial" w:eastAsia="바탕"/>
          <w:color w:val="000000"/>
          <w:sz w:val="22"/>
        </w:rPr>
        <w:widowControl w:val="off"/>
      </w:pPr>
      <w:r>
        <w:rPr>
          <w:rFonts w:ascii="Arial" w:hAnsi="Arial" w:eastAsia="바탕"/>
          <w:color w:val="000000"/>
          <w:sz w:val="22"/>
        </w:rPr>
        <w:t>1) 폐렴의 예방 효과</w:t>
      </w:r>
    </w:p>
    <w:p>
      <w:pPr>
        <w:pStyle w:val="14"/>
        <w:rPr>
          <w:rFonts w:ascii="Arial" w:hAnsi="Arial" w:eastAsia="바탕"/>
          <w:color w:val="000000"/>
          <w:sz w:val="22"/>
        </w:rPr>
        <w:widowControl w:val="off"/>
      </w:pPr>
      <w:r>
        <w:rPr>
          <w:rFonts w:ascii="Arial" w:hAnsi="Arial" w:eastAsia="바탕"/>
          <w:color w:val="000000"/>
          <w:sz w:val="22"/>
        </w:rPr>
        <w:t xml:space="preserve">1995년부터 1998년 기간에 미국에서 실시된 5세 미만의 소아 임상에서, 폐렴구균단백접합7가 백신의 폐렴예방효과는 PP분석군에서 30.3%, ITT분석군에서 25.5%였다. </w:t>
      </w:r>
    </w:p>
    <w:p>
      <w:pPr>
        <w:pStyle w:val="14"/>
        <w:rPr>
          <w:rFonts w:ascii="Arial" w:hAnsi="Arial" w:eastAsia="바탕"/>
          <w:color w:val="000000"/>
          <w:sz w:val="22"/>
        </w:rPr>
        <w:widowControl w:val="off"/>
      </w:pPr>
    </w:p>
    <w:p>
      <w:pPr>
        <w:pStyle w:val="14"/>
        <w:rPr>
          <w:rFonts w:ascii="Arial" w:hAnsi="Arial"/>
          <w:color w:val="000000"/>
          <w:sz w:val="22"/>
        </w:rPr>
        <w:widowControl w:val="off"/>
      </w:pPr>
      <w:r>
        <w:rPr>
          <w:rFonts w:ascii="Arial" w:hAnsi="Arial"/>
          <w:color w:val="000000"/>
          <w:sz w:val="22"/>
        </w:rPr>
        <w:t xml:space="preserve">2) </w:t>
      </w:r>
      <w:r>
        <w:rPr>
          <w:rFonts w:ascii="Arial" w:hAnsi="Arial"/>
          <w:color w:val="000000"/>
          <w:sz w:val="22"/>
        </w:rPr>
        <w:t xml:space="preserve">미국에서 실시된 </w:t>
      </w:r>
      <w:r>
        <w:rPr>
          <w:color w:val="000000"/>
          <w:sz w:val="22"/>
        </w:rPr>
        <w:t>23</w:t>
      </w:r>
      <w:r>
        <w:rPr>
          <w:rFonts w:ascii="Arial" w:hAnsi="Arial"/>
          <w:color w:val="000000"/>
          <w:sz w:val="22"/>
        </w:rPr>
        <w:t xml:space="preserve">가 폴리사카라이드 백신 접종경험이 없는 60~64세의 건강한 성인을 대상으로 폐렴구균단백접합 13가백신 </w:t>
      </w:r>
      <w:r>
        <w:rPr>
          <w:color w:val="000000"/>
          <w:sz w:val="22"/>
        </w:rPr>
        <w:t>(PCV13)</w:t>
      </w:r>
      <w:r>
        <w:rPr>
          <w:rFonts w:ascii="Arial" w:hAnsi="Arial"/>
          <w:color w:val="000000"/>
          <w:sz w:val="22"/>
        </w:rPr>
        <w:t xml:space="preserve">과 23가 폴리사카라이드백신 </w:t>
      </w:r>
      <w:r>
        <w:rPr>
          <w:color w:val="000000"/>
          <w:sz w:val="22"/>
        </w:rPr>
        <w:t>(PPV23)</w:t>
      </w:r>
      <w:r>
        <w:rPr>
          <w:rFonts w:ascii="Arial" w:hAnsi="Arial"/>
          <w:color w:val="000000"/>
          <w:sz w:val="22"/>
        </w:rPr>
        <w:t xml:space="preserve">의 교차접종 </w:t>
      </w:r>
      <w:r>
        <w:rPr>
          <w:color w:val="000000"/>
          <w:sz w:val="22"/>
        </w:rPr>
        <w:t>순서</w:t>
      </w:r>
      <w:r>
        <w:rPr>
          <w:rFonts w:ascii="Arial" w:hAnsi="Arial"/>
          <w:color w:val="000000"/>
          <w:sz w:val="22"/>
        </w:rPr>
        <w:t xml:space="preserve">에 대한 임상시험에서, PCV13를 초회 투여한 후 PPV23을 2차 투여하면 </w:t>
      </w:r>
      <w:r>
        <w:rPr>
          <w:rFonts w:ascii="Arial" w:hAnsi="Arial"/>
          <w:color w:val="000000"/>
          <w:sz w:val="22"/>
        </w:rPr>
        <w:t>PPV23를 단회 투여한 경우보다 통계학적으로 유의하게 높거나 비열등한</w:t>
      </w:r>
      <w:r>
        <w:rPr>
          <w:rFonts w:ascii="Arial" w:hAnsi="Arial"/>
          <w:color w:val="000000"/>
          <w:sz w:val="22"/>
        </w:rPr>
        <w:t xml:space="preserve"> </w:t>
      </w:r>
      <w:r>
        <w:rPr>
          <w:rFonts w:ascii="Arial" w:hAnsi="Arial"/>
          <w:color w:val="000000"/>
          <w:sz w:val="22"/>
        </w:rPr>
        <w:t>기능적 항체 반응</w:t>
      </w:r>
      <w:r>
        <w:rPr>
          <w:rFonts w:ascii="Arial" w:hAnsi="Arial"/>
          <w:color w:val="000000"/>
          <w:sz w:val="22"/>
        </w:rPr>
        <w:t xml:space="preserve"> </w:t>
      </w:r>
      <w:r>
        <w:rPr>
          <w:rFonts w:ascii="Arial" w:hAnsi="Arial"/>
          <w:color w:val="000000"/>
          <w:sz w:val="22"/>
        </w:rPr>
        <w:t>(OPA antibody titer)</w:t>
      </w:r>
      <w:r>
        <w:rPr>
          <w:rFonts w:ascii="Arial" w:hAnsi="Arial"/>
          <w:color w:val="000000"/>
          <w:sz w:val="22"/>
        </w:rPr>
        <w:t xml:space="preserve">이 유도되었다. </w:t>
      </w:r>
    </w:p>
    <w:p>
      <w:pPr>
        <w:pStyle w:val="14"/>
        <w:rPr>
          <w:rFonts w:ascii="Arial" w:hAnsi="Arial"/>
          <w:color w:val="000000"/>
          <w:sz w:val="22"/>
        </w:rPr>
        <w:widowControl w:val="off"/>
      </w:pPr>
      <w:r>
        <w:rPr>
          <w:rFonts w:ascii="Arial" w:hAnsi="Arial"/>
          <w:color w:val="000000"/>
          <w:sz w:val="22"/>
        </w:rPr>
        <w:t>또한, PPV23 기접종 성인을 대상으로 미국과 스웨덴에서 실시된 임상시험에서, PCV13 또는 PPV23을 1차 투여하고 2차로 PCV 13을 투여했을 때, 1차에서 PCV13을 투여한 경우가 1차에서PPV23을 투여한 경우보다 우수한 기능적 항체반응이 유도되었다</w:t>
      </w:r>
      <w:r>
        <w:rPr>
          <w:rFonts w:ascii="Arial" w:hAnsi="Arial"/>
          <w:color w:val="000000"/>
          <w:sz w:val="22"/>
        </w:rPr>
        <w:t>.</w:t>
      </w:r>
    </w:p>
    <w:p>
      <w:pPr>
        <w:pStyle w:val="14"/>
        <w:rPr>
          <w:rFonts w:ascii="Arial" w:hAnsi="Arial" w:eastAsia="바탕"/>
          <w:color w:val="000000"/>
          <w:sz w:val="22"/>
        </w:rPr>
        <w:widowControl w:val="off"/>
      </w:pPr>
    </w:p>
    <w:p>
      <w:pPr>
        <w:pStyle w:val="14"/>
        <w:rPr>
          <w:rFonts w:ascii="Arial" w:hAnsi="Arial" w:eastAsia="바탕"/>
          <w:color w:val="000000"/>
          <w:sz w:val="22"/>
        </w:rPr>
        <w:widowControl w:val="off"/>
      </w:pPr>
      <w:r>
        <w:rPr>
          <w:rFonts w:ascii="Arial" w:hAnsi="Arial" w:eastAsia="바탕"/>
          <w:color w:val="000000"/>
          <w:sz w:val="22"/>
        </w:rPr>
        <w:t xml:space="preserve">3) 비인두 집락에 대한 영향 </w:t>
      </w:r>
    </w:p>
    <w:p>
      <w:pPr>
        <w:pStyle w:val="14"/>
        <w:rPr>
          <w:rFonts w:ascii="Arial" w:hAnsi="Arial" w:eastAsia="바탕"/>
          <w:color w:val="000000"/>
          <w:sz w:val="22"/>
        </w:rPr>
        <w:widowControl w:val="off"/>
      </w:pPr>
      <w:r>
        <w:rPr>
          <w:rFonts w:ascii="Arial" w:hAnsi="Arial" w:eastAsia="바탕"/>
          <w:color w:val="000000"/>
          <w:sz w:val="22"/>
        </w:rPr>
        <w:t>프랑스에서 실시된 중이염 환아에 대한 관찰연구에서 프리베나 도입 및 이후 이 약의 도입 후의 폐렴구균혈청형의 비인두집락에 대한 변화가 평가되었다. 이 약은 이 약에 포함된 6개의 추가혈청형 및 혈청형6C에 대한 비인두집락을 유의하게 감소시켰으며, 프리베나와 비교 시 혈청형 6C, 7F, 19A에 대한 비인두집락을 유의하게 감소시켰다. 3에 대한 비인두집락의 감소가 관찰되었으며 (2.5% vs. 1.1%; p=0.1), 혈청형 1 및 5에 대한 감소는 관찰되지 않았다.</w:t>
      </w:r>
    </w:p>
    <w:p>
      <w:pPr>
        <w:pStyle w:val="14"/>
        <w:rPr>
          <w:color w:val="000000"/>
          <w:sz w:val="24"/>
        </w:rPr>
        <w:widowControl w:val="off"/>
      </w:pPr>
      <w:r>
        <w:rPr>
          <w:rFonts w:ascii="Arial" w:hAnsi="Arial" w:eastAsia="바탕"/>
          <w:color w:val="000000"/>
          <w:sz w:val="22"/>
        </w:rPr>
        <w:t>이스라엘에서 이 약 또는 프리베나를 2, 4, 6, 12개월에 투여받은 영아에서 폐렴구균백신 예방접종이 비인두집락의 획득에 미치는 영향에 대해 무작위 맹검 연구를 통해 조사되었다. 이 약은 6개 추가혈청형 및 혈청형 6C에 대한 비인두집락을 유의하게 감소시켰다. 또한 혈청형 1, 6A, 6C, 7F, 19A 각각 및 합산 시 프리베나에 비해 비인두집락을 유의하게 감소시켰다. 혈청형 3 및 혈청형 5는 영향을 평가하기에는 집락이 드물어 감소가 관찰되지 않았다. 7개 공통혈청형 중 6개에 대해서는 두 백신에서 유사한 비인두집락 획득율을 보였으며, 혈청형 19F에 대해서는 유의한 감소가 관찰되었다.</w:t>
      </w:r>
    </w:p>
    <w:sectPr>
      <w:endnotePr>
        <w:pos w:val="docEnd"/>
        <w:numFmt w:val="decimal"/>
        <w:numRestart w:val="continuous"/>
      </w:endnotePr>
      <w:footnotePr>
        <w:numFmt w:val="decimal"/>
        <w:numRestart w:val="continuous"/>
      </w:footnotePr>
      <w:pgSz w:w="11906" w:h="16838"/>
      <w:pgMar w:top="1417" w:right="1134" w:bottom="1417" w:left="1134" w:header="850"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5"/>
  <w:bordersDoNotSurroundHeader/>
  <w:stylePaneFormatFilter w:val="0001"/>
  <w:bordersDoNotSurroundFooter/>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autoSpaceDE w:val="off"/>
      <w:autoSpaceDN w:val="off"/>
      <w:snapToGrid w:val="off"/>
      <w:spacing w:before="0" w:after="0" w:line="384" w:lineRule="auto"/>
      <w:ind w:left="0" w:right="0" w:firstLine="0"/>
      <w:jc w:val="both"/>
      <w:textAlignment w:val="baseline"/>
      <w:wordWrap w:val="0"/>
    </w:pPr>
    <w:rPr>
      <w:rFonts w:ascii="바탕" w:hAnsi="바탕" w:eastAsia="바탕"/>
      <w:color w:val="000000"/>
      <w:sz w:val="20"/>
      <w:shd w:val="clear" w:color="000000" w:fill="ffffff"/>
    </w:rPr>
  </w:style>
  <w:style w:type="paragraph" w:styleId="1">
    <w:name w:val="본문"/>
    <w:uiPriority w:val="1"/>
    <w:pPr>
      <w:widowControl w:val="off"/>
      <w:autoSpaceDE w:val="off"/>
      <w:autoSpaceDN w:val="off"/>
      <w:snapToGrid w:val="off"/>
      <w:spacing w:before="0" w:after="0" w:line="384" w:lineRule="auto"/>
      <w:ind w:left="300" w:right="0" w:firstLine="0"/>
      <w:jc w:val="both"/>
      <w:textAlignment w:val="baseline"/>
      <w:wordWrap w:val="0"/>
    </w:pPr>
    <w:rPr>
      <w:rFonts w:ascii="바탕" w:hAnsi="바탕" w:eastAsia="바탕"/>
      <w:color w:val="000000"/>
      <w:sz w:val="20"/>
    </w:rPr>
  </w:style>
  <w:style w:type="paragraph" w:styleId="2">
    <w:name w:val="개요 1"/>
    <w:uiPriority w:val="2"/>
    <w:pPr>
      <w:widowControl w:val="off"/>
      <w:autoSpaceDE w:val="off"/>
      <w:autoSpaceDN w:val="off"/>
      <w:snapToGrid w:val="off"/>
      <w:spacing w:before="0" w:after="0" w:line="384" w:lineRule="auto"/>
      <w:ind w:left="200" w:right="0" w:firstLine="0"/>
      <w:jc w:val="both"/>
      <w:textAlignment w:val="baseline"/>
      <w:outlineLvl w:val="0"/>
      <w:numPr>
        <w:numId w:val="202"/>
        <w:ilvl w:val="0"/>
      </w:numPr>
      <w:wordWrap w:val="0"/>
    </w:pPr>
    <w:rPr>
      <w:rFonts w:ascii="바탕" w:hAnsi="바탕" w:eastAsia="바탕"/>
      <w:color w:val="000000"/>
      <w:sz w:val="20"/>
    </w:rPr>
  </w:style>
  <w:style w:type="paragraph" w:styleId="3">
    <w:name w:val="개요 2"/>
    <w:uiPriority w:val="3"/>
    <w:pPr>
      <w:widowControl w:val="off"/>
      <w:autoSpaceDE w:val="off"/>
      <w:autoSpaceDN w:val="off"/>
      <w:snapToGrid w:val="off"/>
      <w:spacing w:before="0" w:after="0" w:line="384" w:lineRule="auto"/>
      <w:ind w:left="400" w:right="0" w:firstLine="0"/>
      <w:jc w:val="both"/>
      <w:textAlignment w:val="baseline"/>
      <w:outlineLvl w:val="1"/>
      <w:numPr>
        <w:numId w:val="203"/>
        <w:ilvl w:val="1"/>
      </w:numPr>
      <w:wordWrap w:val="0"/>
    </w:pPr>
    <w:rPr>
      <w:rFonts w:ascii="바탕" w:hAnsi="바탕" w:eastAsia="바탕"/>
      <w:color w:val="000000"/>
      <w:sz w:val="20"/>
    </w:rPr>
  </w:style>
  <w:style w:type="paragraph" w:styleId="4">
    <w:name w:val="개요 3"/>
    <w:uiPriority w:val="4"/>
    <w:pPr>
      <w:widowControl w:val="off"/>
      <w:autoSpaceDE w:val="off"/>
      <w:autoSpaceDN w:val="off"/>
      <w:snapToGrid w:val="off"/>
      <w:spacing w:before="0" w:after="0" w:line="384" w:lineRule="auto"/>
      <w:ind w:left="600" w:right="0" w:firstLine="0"/>
      <w:jc w:val="both"/>
      <w:textAlignment w:val="baseline"/>
      <w:outlineLvl w:val="2"/>
      <w:numPr>
        <w:numId w:val="204"/>
        <w:ilvl w:val="2"/>
      </w:numPr>
      <w:wordWrap w:val="0"/>
    </w:pPr>
    <w:rPr>
      <w:rFonts w:ascii="바탕" w:hAnsi="바탕" w:eastAsia="바탕"/>
      <w:color w:val="000000"/>
      <w:sz w:val="20"/>
    </w:rPr>
  </w:style>
  <w:style w:type="paragraph" w:styleId="5">
    <w:name w:val="개요 4"/>
    <w:uiPriority w:val="5"/>
    <w:pPr>
      <w:widowControl w:val="off"/>
      <w:autoSpaceDE w:val="off"/>
      <w:autoSpaceDN w:val="off"/>
      <w:snapToGrid w:val="off"/>
      <w:spacing w:before="0" w:after="0" w:line="384" w:lineRule="auto"/>
      <w:ind w:left="800" w:right="0" w:firstLine="0"/>
      <w:jc w:val="both"/>
      <w:textAlignment w:val="baseline"/>
      <w:outlineLvl w:val="3"/>
      <w:numPr>
        <w:numId w:val="205"/>
        <w:ilvl w:val="3"/>
      </w:numPr>
      <w:wordWrap w:val="0"/>
    </w:pPr>
    <w:rPr>
      <w:rFonts w:ascii="바탕" w:hAnsi="바탕" w:eastAsia="바탕"/>
      <w:color w:val="000000"/>
      <w:sz w:val="20"/>
    </w:rPr>
  </w:style>
  <w:style w:type="paragraph" w:styleId="6">
    <w:name w:val="개요 5"/>
    <w:uiPriority w:val="6"/>
    <w:pPr>
      <w:widowControl w:val="off"/>
      <w:autoSpaceDE w:val="off"/>
      <w:autoSpaceDN w:val="off"/>
      <w:snapToGrid w:val="off"/>
      <w:spacing w:before="0" w:after="0" w:line="384" w:lineRule="auto"/>
      <w:ind w:left="1000" w:right="0" w:firstLine="0"/>
      <w:jc w:val="both"/>
      <w:textAlignment w:val="baseline"/>
      <w:outlineLvl w:val="4"/>
      <w:numPr>
        <w:numId w:val="206"/>
        <w:ilvl w:val="4"/>
      </w:numPr>
      <w:wordWrap w:val="0"/>
    </w:pPr>
    <w:rPr>
      <w:rFonts w:ascii="바탕" w:hAnsi="바탕" w:eastAsia="바탕"/>
      <w:color w:val="000000"/>
      <w:sz w:val="20"/>
    </w:rPr>
  </w:style>
  <w:style w:type="paragraph" w:styleId="7">
    <w:name w:val="개요 6"/>
    <w:uiPriority w:val="7"/>
    <w:pPr>
      <w:widowControl w:val="off"/>
      <w:autoSpaceDE w:val="off"/>
      <w:autoSpaceDN w:val="off"/>
      <w:snapToGrid w:val="off"/>
      <w:spacing w:before="0" w:after="0" w:line="384" w:lineRule="auto"/>
      <w:ind w:left="1200" w:right="0" w:firstLine="0"/>
      <w:jc w:val="both"/>
      <w:textAlignment w:val="baseline"/>
      <w:outlineLvl w:val="5"/>
      <w:numPr>
        <w:numId w:val="207"/>
        <w:ilvl w:val="5"/>
      </w:numPr>
      <w:wordWrap w:val="0"/>
    </w:pPr>
    <w:rPr>
      <w:rFonts w:ascii="바탕" w:hAnsi="바탕" w:eastAsia="바탕"/>
      <w:color w:val="000000"/>
      <w:sz w:val="20"/>
    </w:rPr>
  </w:style>
  <w:style w:type="paragraph" w:styleId="8">
    <w:name w:val="개요 7"/>
    <w:uiPriority w:val="8"/>
    <w:pPr>
      <w:widowControl w:val="off"/>
      <w:autoSpaceDE w:val="off"/>
      <w:autoSpaceDN w:val="off"/>
      <w:snapToGrid w:val="off"/>
      <w:spacing w:before="0" w:after="0" w:line="384" w:lineRule="auto"/>
      <w:ind w:left="1400" w:right="0" w:firstLine="0"/>
      <w:jc w:val="both"/>
      <w:textAlignment w:val="baseline"/>
      <w:outlineLvl w:val="6"/>
      <w:numPr>
        <w:numId w:val="208"/>
        <w:ilvl w:val="6"/>
      </w:numPr>
      <w:wordWrap w:val="0"/>
    </w:pPr>
    <w:rPr>
      <w:rFonts w:ascii="바탕" w:hAnsi="바탕" w:eastAsia="바탕"/>
      <w:color w:val="000000"/>
      <w:sz w:val="20"/>
    </w:rPr>
  </w:style>
  <w:style w:type="paragraph" w:styleId="9">
    <w:name w:val="쪽 번호"/>
    <w:uiPriority w:val="9"/>
    <w:pPr>
      <w:widowControl w:val="off"/>
      <w:autoSpaceDE w:val="off"/>
      <w:autoSpaceDN w:val="off"/>
      <w:snapToGrid w:val="off"/>
      <w:spacing w:before="0" w:after="0" w:line="384" w:lineRule="auto"/>
      <w:ind w:left="0" w:right="0" w:firstLine="0"/>
      <w:jc w:val="both"/>
      <w:textAlignment w:val="baseline"/>
      <w:wordWrap w:val="0"/>
    </w:pPr>
    <w:rPr>
      <w:rFonts w:ascii="굴림" w:hAnsi="굴림" w:eastAsia="굴림"/>
      <w:color w:val="000000"/>
      <w:sz w:val="20"/>
    </w:rPr>
  </w:style>
  <w:style w:type="paragraph" w:styleId="10">
    <w:name w:val="머리말"/>
    <w:uiPriority w:val="10"/>
    <w:pPr>
      <w:widowControl w:val="off"/>
      <w:autoSpaceDE w:val="off"/>
      <w:autoSpaceDN w:val="off"/>
      <w:snapToGrid w:val="off"/>
      <w:spacing w:before="0" w:after="0" w:line="360" w:lineRule="auto"/>
      <w:ind w:left="0" w:right="0" w:firstLine="0"/>
      <w:jc w:val="both"/>
      <w:textAlignment w:val="baseline"/>
      <w:wordWrap w:val="1"/>
    </w:pPr>
    <w:rPr>
      <w:rFonts w:ascii="굴림" w:hAnsi="굴림" w:eastAsia="굴림"/>
      <w:color w:val="000000"/>
      <w:sz w:val="18"/>
    </w:rPr>
  </w:style>
  <w:style w:type="paragraph" w:styleId="11">
    <w:name w:val="각주"/>
    <w:uiPriority w:val="11"/>
    <w:pPr>
      <w:widowControl w:val="off"/>
      <w:autoSpaceDE w:val="off"/>
      <w:autoSpaceDN w:val="off"/>
      <w:snapToGrid w:val="off"/>
      <w:spacing w:before="0" w:after="0" w:line="312" w:lineRule="auto"/>
      <w:ind w:left="262" w:right="0" w:hanging="262"/>
      <w:jc w:val="both"/>
      <w:textAlignment w:val="baseline"/>
      <w:wordWrap w:val="0"/>
    </w:pPr>
    <w:rPr>
      <w:rFonts w:ascii="바탕" w:hAnsi="바탕" w:eastAsia="바탕"/>
      <w:color w:val="000000"/>
      <w:spacing w:val="-4"/>
      <w:w w:val="95"/>
      <w:sz w:val="18"/>
    </w:rPr>
  </w:style>
  <w:style w:type="paragraph" w:styleId="12">
    <w:name w:val="미주"/>
    <w:uiPriority w:val="12"/>
    <w:pPr>
      <w:widowControl w:val="off"/>
      <w:autoSpaceDE w:val="off"/>
      <w:autoSpaceDN w:val="off"/>
      <w:snapToGrid w:val="off"/>
      <w:spacing w:before="0" w:after="0" w:line="312" w:lineRule="auto"/>
      <w:ind w:left="262" w:right="0" w:hanging="262"/>
      <w:jc w:val="both"/>
      <w:textAlignment w:val="baseline"/>
      <w:wordWrap w:val="0"/>
    </w:pPr>
    <w:rPr>
      <w:rFonts w:ascii="바탕" w:hAnsi="바탕" w:eastAsia="바탕"/>
      <w:color w:val="000000"/>
      <w:spacing w:val="-4"/>
      <w:w w:val="95"/>
      <w:sz w:val="18"/>
    </w:rPr>
  </w:style>
  <w:style w:type="paragraph" w:styleId="13">
    <w:name w:val="메모"/>
    <w:uiPriority w:val="13"/>
    <w:pPr>
      <w:widowControl w:val="off"/>
      <w:autoSpaceDE w:val="off"/>
      <w:autoSpaceDN w:val="off"/>
      <w:snapToGrid/>
      <w:spacing w:before="0" w:after="0" w:line="384" w:lineRule="auto"/>
      <w:ind w:left="0" w:right="0" w:firstLine="0"/>
      <w:jc w:val="both"/>
      <w:textAlignment w:val="baseline"/>
      <w:wordWrap w:val="0"/>
    </w:pPr>
    <w:rPr>
      <w:rFonts w:ascii="굴림" w:hAnsi="굴림" w:eastAsia="굴림"/>
      <w:color w:val="000000"/>
      <w:spacing w:val="-4"/>
      <w:w w:val="95"/>
      <w:sz w:val="18"/>
    </w:rPr>
  </w:style>
  <w:style w:type="paragraph" w:styleId="14">
    <w:name w:val="MS바탕글"/>
    <w:uiPriority w:val="14"/>
    <w:pPr>
      <w:widowControl w:val="off"/>
      <w:autoSpaceDE w:val="off"/>
      <w:autoSpaceDN w:val="off"/>
      <w:snapToGrid w:val="off"/>
      <w:spacing w:before="0" w:after="0" w:line="384" w:lineRule="auto"/>
      <w:ind w:left="0" w:right="0" w:firstLine="0"/>
      <w:jc w:val="both"/>
      <w:textAlignment w:val="baseline"/>
      <w:wordWrap w:val="0"/>
    </w:pPr>
    <w:rPr>
      <w:rFonts w:ascii="Times New Roman" w:hAnsi="Times New Roman" w:eastAsia="바탕체"/>
      <w:color w:val="000000"/>
      <w:sz w:val="20"/>
    </w:rPr>
  </w:style>
  <w:style w:type="paragraph" w:styleId="15">
    <w:name w:val="TableText"/>
    <w:uiPriority w:val="15"/>
    <w:pPr>
      <w:widowControl w:val="off"/>
      <w:autoSpaceDE w:val="off"/>
      <w:autoSpaceDN w:val="off"/>
      <w:snapToGrid w:val="off"/>
      <w:spacing w:before="0" w:after="0" w:line="384" w:lineRule="auto"/>
      <w:ind w:left="0" w:right="0" w:firstLine="0"/>
      <w:jc w:val="both"/>
      <w:textAlignment w:val="baseline"/>
      <w:wordWrap w:val="0"/>
    </w:pPr>
    <w:rPr>
      <w:rFonts w:ascii="Times New Roman" w:hAnsi="Times New Roman" w:eastAsia="바탕"/>
      <w:color w:val="000000"/>
      <w:sz w:val="20"/>
    </w:rPr>
  </w:style>
  <w:style w:type="paragraph" w:styleId="16">
    <w:name w:val="TableText Col Head"/>
    <w:uiPriority w:val="16"/>
    <w:pPr>
      <w:widowControl w:val="off"/>
      <w:autoSpaceDE w:val="off"/>
      <w:autoSpaceDN w:val="off"/>
      <w:snapToGrid w:val="off"/>
      <w:spacing w:before="0" w:after="0" w:line="384" w:lineRule="auto"/>
      <w:ind w:left="0" w:right="0" w:firstLine="0"/>
      <w:jc w:val="center"/>
      <w:textAlignment w:val="baseline"/>
      <w:wordWrap w:val="0"/>
    </w:pPr>
    <w:rPr>
      <w:rFonts w:ascii="한컴바탕" w:hAnsi="한컴바탕" w:eastAsia="바탕"/>
      <w:b/>
      <w:color w:val="000000"/>
      <w:sz w:val="20"/>
    </w:rPr>
  </w:style>
  <w:style w:type="paragraph" w:styleId="17">
    <w:name w:val="CDS Mandatory safety concepts"/>
    <w:uiPriority w:val="17"/>
    <w:pPr>
      <w:widowControl w:val="off"/>
      <w:autoSpaceDE w:val="off"/>
      <w:autoSpaceDN w:val="off"/>
      <w:snapToGrid w:val="off"/>
      <w:spacing w:before="0" w:after="0" w:line="384" w:lineRule="auto"/>
      <w:ind w:left="0" w:right="0" w:firstLine="0"/>
      <w:jc w:val="both"/>
      <w:textAlignment w:val="baseline"/>
      <w:wordWrap w:val="0"/>
    </w:pPr>
    <w:rPr>
      <w:rFonts w:ascii="Times New Roman" w:hAnsi="Times New Roman" w:eastAsia="한컴바탕"/>
      <w:b/>
      <w:color w:val="000000"/>
      <w:sz w:val="22"/>
    </w:rPr>
  </w:style>
  <w:style w:type="paragraph" w:styleId="18">
    <w:name w:val="제목 2"/>
    <w:uiPriority w:val="18"/>
    <w:pPr>
      <w:widowControl w:val="off"/>
      <w:autoSpaceDE w:val="off"/>
      <w:autoSpaceDN w:val="off"/>
      <w:snapToGrid w:val="off"/>
      <w:spacing w:before="0" w:after="0" w:line="384" w:lineRule="auto"/>
      <w:ind w:left="0" w:right="0" w:firstLine="0"/>
      <w:jc w:val="both"/>
      <w:textAlignment w:val="baseline"/>
      <w:wordWrap w:val="0"/>
    </w:pPr>
    <w:rPr>
      <w:rFonts w:ascii="Arial" w:hAnsi="Arial" w:eastAsia="돋움"/>
      <w:b/>
      <w:color w:val="000000"/>
      <w:sz w:val="2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 2010</ep:Application>
  <ep:AppVersion>8.0</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title>사용상 주의사항</dc:title>
  <dc:creator>Administrator</dc:creator>
  <cp:lastModifiedBy>KANGB01</cp:lastModifiedBy>
  <dcterms:created xsi:type="dcterms:W3CDTF">2015-04-27T06:02:31.953</dcterms:created>
  <dcterms:modified xsi:type="dcterms:W3CDTF">2017-07-26T06:50:42.885</dcterms:modified>
</cp:coreProperties>
</file>