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  <w:r>
        <w:rPr>
          <w:b/>
          <w:sz w:val="30"/>
          <w:shd w:val="clear" w:color="000000"/>
        </w:rPr>
        <w:t>사용상의주의사항</w:t>
      </w:r>
    </w:p>
    <w:p>
      <w:pPr>
        <w:pStyle w:val="0"/>
        <w:widowControl w:val="off"/>
        <w:rPr>
          <w:rFonts w:ascii="한양신명조" w:eastAsia="한양신명조"/>
          <w:color w:val="000000"/>
          <w:spacing w:val="-1"/>
        </w:rPr>
      </w:pPr>
    </w:p>
    <w:p>
      <w:pPr>
        <w:pStyle w:val="0"/>
        <w:widowControl w:val="off"/>
      </w:pPr>
      <w:r>
        <w:rPr>
          <w:rFonts w:ascii="한양신명조" w:eastAsia="한양신명조"/>
          <w:sz w:val="22"/>
          <w:shd w:val="clear" w:color="000000"/>
        </w:rPr>
        <w:t>‘다음 환자에는 투여하지 말 것’ 항</w:t>
      </w:r>
    </w:p>
    <w:p>
      <w:pPr>
        <w:pStyle w:val="0"/>
        <w:widowControl w:val="off"/>
      </w:pPr>
      <w:r>
        <w:rPr>
          <w:rFonts w:ascii="한양신명조" w:eastAsia="한양신명조"/>
          <w:spacing w:val="-3"/>
          <w:sz w:val="22"/>
          <w:u w:val="single"/>
          <w:shd w:val="clear" w:color="000000"/>
        </w:rPr>
        <w:t>네프릴리신(NEP) 저해제를 투여중이거나 투여 중단 후 36시간이 지나지 않은 환자(5. 약물상호작용항 참조)</w:t>
      </w:r>
    </w:p>
    <w:p>
      <w:pPr>
        <w:pStyle w:val="0"/>
        <w:widowControl w:val="off"/>
        <w:rPr>
          <w:rFonts w:ascii="한양신명조" w:eastAsia="한양신명조"/>
          <w:color w:val="0000ff"/>
          <w:spacing w:val="-3"/>
          <w:sz w:val="22"/>
          <w:u w:val="single" w:color="0000ff"/>
          <w:shd w:val="clear" w:color="000000"/>
        </w:rPr>
      </w:pPr>
    </w:p>
    <w:p>
      <w:pPr>
        <w:pStyle w:val="0"/>
        <w:widowControl w:val="off"/>
      </w:pPr>
      <w:r>
        <w:rPr>
          <w:rFonts w:ascii="한양신명조" w:eastAsia="한양신명조"/>
          <w:sz w:val="22"/>
          <w:shd w:val="clear" w:color="000000"/>
        </w:rPr>
        <w:t>‘약물상호작용’ 항</w:t>
      </w:r>
    </w:p>
    <w:p>
      <w:pPr>
        <w:pStyle w:val="0"/>
        <w:widowControl w:val="off"/>
      </w:pPr>
      <w:r>
        <w:rPr>
          <w:rFonts w:ascii="한양신명조" w:eastAsia="한양신명조"/>
          <w:spacing w:val="-1"/>
          <w:sz w:val="22"/>
          <w:u w:val="single"/>
        </w:rPr>
        <w:t>네프릴리신(Neutral endopeptidase; NEP) 저해제(예, 사쿠비트릴, 라세카도트릴)와 병용투여하는 환자에서 혈관부종의 위험이 증가할 수 있다.</w:t>
      </w:r>
    </w:p>
    <w:p>
      <w:pPr>
        <w:pStyle w:val="0"/>
        <w:widowControl w:val="off"/>
        <w:wordWrap w:val="1"/>
        <w:ind w:left="60" w:right="60"/>
        <w:jc w:val="center"/>
        <w:rPr>
          <w:rFonts w:ascii="한양신명조" w:eastAsia="한양신명조"/>
          <w:color w:val="000000"/>
          <w:sz w:val="22"/>
        </w:rPr>
      </w:pPr>
    </w:p>
    <w:p>
      <w:pPr>
        <w:pStyle w:val="0"/>
        <w:widowControl w:val="off"/>
        <w:wordWrap w:val="1"/>
        <w:ind w:left="60" w:right="60"/>
        <w:jc w:val="center"/>
        <w:rPr>
          <w:rFonts w:ascii="한양신명조" w:eastAsia="한양신명조"/>
          <w:color w:val="000000"/>
          <w:sz w:val="22"/>
        </w:rPr>
      </w:pPr>
    </w:p>
    <w:p>
      <w:pPr>
        <w:pStyle w:val="0"/>
        <w:widowControl w:val="off"/>
      </w:pPr>
      <w:r>
        <w:rPr>
          <w:rFonts w:ascii="한양신명조" w:eastAsia="한양신명조"/>
          <w:b/>
          <w:sz w:val="22"/>
        </w:rPr>
        <w:t>퀴나프릴염산염 단일제(경구) 허가사항 변경대비표</w:t>
      </w:r>
    </w:p>
    <w:tbl>
      <w:tblPr>
        <w:tblOverlap w:val="never"/>
        <w:tblW w:w="961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8"/>
        <w:gridCol w:w="4240"/>
        <w:gridCol w:w="4240"/>
      </w:tblGrid>
      <w:tr>
        <w:trPr>
          <w:trHeight w:val="350"/>
          <w:tblHeader/>
        </w:trPr>
        <w:tc>
          <w:tcPr>
            <w:tcW w:w="1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6"/>
              <w:widowControl w:val="off"/>
              <w:wordWrap w:val="1"/>
              <w:jc w:val="center"/>
            </w:pPr>
            <w:r>
              <w:rPr>
                <w:sz w:val="22"/>
              </w:rPr>
              <w:t>항 목</w:t>
            </w:r>
          </w:p>
        </w:tc>
        <w:tc>
          <w:tcPr>
            <w:tcW w:w="4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6"/>
              <w:widowControl w:val="off"/>
              <w:wordWrap w:val="1"/>
              <w:jc w:val="center"/>
            </w:pPr>
            <w:r>
              <w:rPr>
                <w:sz w:val="22"/>
              </w:rPr>
              <w:t xml:space="preserve">기 허 가 사 항 </w:t>
            </w:r>
          </w:p>
        </w:tc>
        <w:tc>
          <w:tcPr>
            <w:tcW w:w="4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6"/>
              <w:widowControl w:val="off"/>
              <w:wordWrap w:val="1"/>
              <w:jc w:val="center"/>
            </w:pPr>
            <w:r>
              <w:rPr>
                <w:sz w:val="22"/>
              </w:rPr>
              <w:t>변 경 사 항</w:t>
            </w:r>
          </w:p>
        </w:tc>
      </w:tr>
      <w:tr>
        <w:trPr>
          <w:trHeight w:val="0"/>
        </w:trPr>
        <w:tc>
          <w:tcPr>
            <w:tcW w:w="1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신명조" w:eastAsia="한양신명조"/>
                <w:b/>
                <w:sz w:val="22"/>
              </w:rPr>
              <w:t>다음 환자에는 투여하지 말 것</w:t>
            </w:r>
          </w:p>
        </w:tc>
        <w:tc>
          <w:tcPr>
            <w:tcW w:w="4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</w:pPr>
            <w:r>
              <w:rPr>
                <w:rFonts w:ascii="한양신명조" w:eastAsia="한양신명조"/>
                <w:sz w:val="22"/>
              </w:rPr>
              <w:t>1) ~ 13)(생략)</w:t>
            </w:r>
          </w:p>
          <w:p>
            <w:pPr>
              <w:pStyle w:val="0"/>
              <w:widowControl w:val="off"/>
            </w:pPr>
            <w:r>
              <w:rPr>
                <w:rFonts w:ascii="한양신명조" w:eastAsia="한양신명조"/>
                <w:color w:val="0000ff"/>
                <w:sz w:val="22"/>
                <w:u w:val="single" w:color="0000ff"/>
              </w:rPr>
              <w:t>&lt;신설&gt;</w:t>
            </w:r>
          </w:p>
          <w:p>
            <w:pPr>
              <w:pStyle w:val="0"/>
              <w:widowControl w:val="off"/>
              <w:rPr>
                <w:rFonts w:ascii="한양신명조" w:eastAsia="한양신명조"/>
                <w:color w:val="0000ff"/>
                <w:sz w:val="22"/>
                <w:u w:val="single" w:color="0000ff"/>
              </w:rPr>
            </w:pPr>
          </w:p>
          <w:p>
            <w:pPr>
              <w:pStyle w:val="0"/>
              <w:widowControl w:val="off"/>
              <w:rPr>
                <w:rFonts w:ascii="한양신명조" w:eastAsia="한양신명조"/>
                <w:color w:val="0000ff"/>
                <w:sz w:val="22"/>
                <w:u w:val="single" w:color="0000ff"/>
              </w:rPr>
            </w:pPr>
          </w:p>
          <w:p>
            <w:pPr>
              <w:pStyle w:val="0"/>
              <w:widowControl w:val="off"/>
            </w:pPr>
            <w:r>
              <w:rPr>
                <w:rFonts w:ascii="한양신명조"/>
                <w:color w:val="0000ff"/>
                <w:spacing w:val="-3"/>
                <w:sz w:val="22"/>
                <w:u w:val="single" w:color="0000ff"/>
                <w:shd w:val="clear" w:color="000000"/>
              </w:rPr>
              <w:t>14)</w:t>
            </w:r>
            <w:r>
              <w:rPr>
                <w:rFonts w:ascii="한양신명조" w:eastAsia="한양신명조"/>
                <w:spacing w:val="-3"/>
                <w:sz w:val="22"/>
                <w:shd w:val="clear" w:color="000000"/>
              </w:rPr>
              <w:t>(생략)</w:t>
            </w:r>
          </w:p>
        </w:tc>
        <w:tc>
          <w:tcPr>
            <w:tcW w:w="4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ind w:left="368" w:hanging="368"/>
            </w:pPr>
            <w:r>
              <w:rPr>
                <w:rFonts w:ascii="한양신명조" w:eastAsia="한양신명조"/>
                <w:sz w:val="22"/>
              </w:rPr>
              <w:t>1) ~ 13)(기허가사항과 동일)</w:t>
            </w:r>
          </w:p>
          <w:p>
            <w:pPr>
              <w:pStyle w:val="0"/>
              <w:widowControl w:val="off"/>
            </w:pPr>
            <w:r>
              <w:rPr>
                <w:rFonts w:ascii="한양신명조"/>
                <w:color w:val="0000ff"/>
                <w:sz w:val="22"/>
                <w:u w:val="single" w:color="0000ff"/>
              </w:rPr>
              <w:t xml:space="preserve">14) </w:t>
            </w:r>
            <w:r>
              <w:rPr>
                <w:rFonts w:ascii="한양신명조" w:eastAsia="한양신명조"/>
                <w:color w:val="0000ff"/>
                <w:spacing w:val="-3"/>
                <w:sz w:val="22"/>
                <w:u w:val="single" w:color="0000ff"/>
                <w:shd w:val="clear" w:color="000000"/>
              </w:rPr>
              <w:t>네프릴리신(NEP) 저해제를 투여중이거나 투여 중단 후 36시간이 지나지 않은 환자(5. 약물상호작용항 참조)</w:t>
            </w:r>
          </w:p>
          <w:p>
            <w:pPr>
              <w:pStyle w:val="0"/>
              <w:widowControl w:val="off"/>
            </w:pPr>
            <w:r>
              <w:rPr>
                <w:rFonts w:ascii="한양신명조"/>
                <w:color w:val="0000ff"/>
                <w:spacing w:val="-3"/>
                <w:sz w:val="22"/>
                <w:u w:val="single" w:color="0000ff"/>
                <w:shd w:val="clear" w:color="000000"/>
              </w:rPr>
              <w:t>15)</w:t>
            </w:r>
            <w:r>
              <w:rPr>
                <w:rFonts w:ascii="한양신명조" w:eastAsia="한양신명조"/>
                <w:spacing w:val="-3"/>
                <w:sz w:val="22"/>
                <w:shd w:val="clear" w:color="000000"/>
              </w:rPr>
              <w:t>(기허가사항과 동일)</w:t>
            </w:r>
          </w:p>
        </w:tc>
      </w:tr>
      <w:tr>
        <w:trPr>
          <w:trHeight w:val="0"/>
        </w:trPr>
        <w:tc>
          <w:tcPr>
            <w:tcW w:w="1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신명조"/>
                <w:b/>
                <w:sz w:val="22"/>
              </w:rPr>
              <w:t>약물상호작용</w:t>
            </w:r>
          </w:p>
        </w:tc>
        <w:tc>
          <w:tcPr>
            <w:tcW w:w="4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</w:pPr>
            <w:r>
              <w:rPr>
                <w:rFonts w:ascii="한양신명조" w:eastAsia="한양신명조"/>
                <w:sz w:val="22"/>
              </w:rPr>
              <w:t>1) ~ 13)(생략)</w:t>
            </w:r>
          </w:p>
          <w:p>
            <w:pPr>
              <w:pStyle w:val="0"/>
              <w:widowControl w:val="off"/>
            </w:pPr>
            <w:r>
              <w:rPr>
                <w:rFonts w:ascii="한양신명조" w:eastAsia="한양신명조"/>
                <w:color w:val="0000ff"/>
                <w:sz w:val="22"/>
                <w:u w:val="single" w:color="0000ff"/>
              </w:rPr>
              <w:t>&lt;신설&gt;</w:t>
            </w:r>
          </w:p>
          <w:p>
            <w:pPr>
              <w:pStyle w:val="0"/>
              <w:widowControl w:val="off"/>
              <w:rPr>
                <w:rFonts w:ascii="한양신명조" w:eastAsia="한양신명조"/>
                <w:color w:val="0000ff"/>
                <w:sz w:val="22"/>
                <w:u w:val="single" w:color="0000ff"/>
              </w:rPr>
            </w:pPr>
          </w:p>
          <w:p>
            <w:pPr>
              <w:pStyle w:val="0"/>
              <w:widowControl w:val="off"/>
              <w:ind w:left="368" w:hanging="368"/>
              <w:rPr>
                <w:rFonts w:ascii="한양신명조" w:eastAsia="한양신명조"/>
                <w:color w:val="000000"/>
                <w:sz w:val="22"/>
              </w:rPr>
            </w:pPr>
          </w:p>
        </w:tc>
        <w:tc>
          <w:tcPr>
            <w:tcW w:w="4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widowControl w:val="off"/>
              <w:ind w:left="368" w:hanging="368"/>
            </w:pPr>
            <w:r>
              <w:rPr>
                <w:rFonts w:ascii="한양신명조" w:eastAsia="한양신명조"/>
                <w:sz w:val="22"/>
              </w:rPr>
              <w:t>1) ~ 13)(기허가사항과 동일)</w:t>
            </w:r>
          </w:p>
          <w:p>
            <w:pPr>
              <w:pStyle w:val="0"/>
              <w:widowControl w:val="off"/>
            </w:pPr>
            <w:r>
              <w:rPr>
                <w:rFonts w:ascii="한양신명조"/>
                <w:color w:val="0000ff"/>
                <w:sz w:val="22"/>
                <w:u w:val="single" w:color="0000ff"/>
              </w:rPr>
              <w:t>14)</w:t>
            </w:r>
            <w:r>
              <w:rPr>
                <w:rFonts w:ascii="한양신명조" w:eastAsia="한양신명조"/>
                <w:color w:val="0000ff"/>
                <w:spacing w:val="-10"/>
                <w:sz w:val="22"/>
                <w:u w:val="single" w:color="0000ff"/>
              </w:rPr>
              <w:t xml:space="preserve"> 네프릴리신(Neutral endopeptidase; NEP)</w:t>
            </w:r>
            <w:r>
              <w:rPr>
                <w:rFonts w:ascii="한양신명조" w:eastAsia="한양신명조"/>
                <w:color w:val="0000ff"/>
                <w:spacing w:val="-1"/>
                <w:sz w:val="22"/>
                <w:u w:val="single" w:color="0000ff"/>
              </w:rPr>
              <w:t xml:space="preserve"> 저해제(예, 사쿠비트릴, 라세카도트릴)와 병용투여하는 환자에서 혈관부종의 위험이 증가할 수 있다.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snapToGrid/>
        <w:rPr>
          <w:rFonts w:ascii="한양신명조" w:eastAsia="한양신명조"/>
          <w:b/>
          <w:color w:val="000000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701" w:right="1134" w:bottom="1701" w:left="1134" w:header="85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14">
    <w:name w:val="MS바탕글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Century" w:eastAsia="한컴바탕"/>
      <w:color w:val="000000"/>
      <w:sz w:val="22"/>
    </w:rPr>
  </w:style>
  <w:style w:type="paragraph" w:styleId="15">
    <w:name w:val="분류번호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" w:right="0" w:firstLine="0"/>
      <w:jc w:val="both"/>
      <w:textAlignment w:val="baseline"/>
    </w:pPr>
    <w:rPr>
      <w:rFonts w:ascii="-윤고딕140" w:eastAsia="-윤고딕140"/>
      <w:color w:val="000000"/>
      <w:spacing w:val="-4"/>
      <w:sz w:val="28"/>
      <w:shd w:val="clear" w:color="000000"/>
    </w:rPr>
  </w:style>
  <w:style w:type="paragraph" w:styleId="16">
    <w:name w:val="새 스타일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분류번호 </dc:title>
  <dc:creator>Administrator</dc:creator>
  <cp:lastModifiedBy>미노수</cp:lastModifiedBy>
  <dcterms:created xsi:type="dcterms:W3CDTF">2016-02-15T00:56:01.316</dcterms:created>
  <dcterms:modified xsi:type="dcterms:W3CDTF">2017-11-03T02:19:58.502</dcterms:modified>
  <cp:version>0500.0500.01</cp:version>
</cp:coreProperties>
</file>